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958E7" w14:textId="0900C925" w:rsidR="00632C5C" w:rsidRDefault="0092399C" w:rsidP="00DB6C66">
      <w:pPr>
        <w:spacing w:after="148"/>
        <w:ind w:left="184"/>
        <w:jc w:val="center"/>
      </w:pPr>
      <w:r>
        <w:rPr>
          <w:rFonts w:ascii="Verdana" w:eastAsia="Verdana" w:hAnsi="Verdana" w:cs="Verdana"/>
          <w:b/>
          <w:color w:val="900000"/>
          <w:sz w:val="18"/>
        </w:rPr>
        <w:t xml:space="preserve"> </w:t>
      </w:r>
      <w:r>
        <w:rPr>
          <w:rFonts w:ascii="Arial" w:eastAsia="Arial" w:hAnsi="Arial" w:cs="Arial"/>
          <w:sz w:val="21"/>
        </w:rPr>
        <w:t xml:space="preserve">  </w:t>
      </w:r>
    </w:p>
    <w:p w14:paraId="53220219" w14:textId="77777777" w:rsidR="00632C5C" w:rsidRDefault="0092399C">
      <w:pPr>
        <w:spacing w:after="0"/>
        <w:ind w:left="12"/>
        <w:jc w:val="center"/>
      </w:pPr>
      <w:r>
        <w:rPr>
          <w:rFonts w:ascii="Arial" w:eastAsia="Arial" w:hAnsi="Arial" w:cs="Arial"/>
          <w:b/>
          <w:sz w:val="40"/>
        </w:rPr>
        <w:t xml:space="preserve">FOND VYSOČINY </w:t>
      </w:r>
    </w:p>
    <w:p w14:paraId="5AB7644E" w14:textId="77777777" w:rsidR="00632C5C" w:rsidRDefault="0092399C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32"/>
        </w:rPr>
        <w:t>PROGRAM „PODPORA ZAJIŠTENÍ STOMATOLOGICKÉ PÉČE 2022“</w:t>
      </w:r>
      <w:r>
        <w:rPr>
          <w:rFonts w:ascii="Arial" w:eastAsia="Arial" w:hAnsi="Arial" w:cs="Arial"/>
          <w:b/>
          <w:sz w:val="32"/>
          <w:vertAlign w:val="subscript"/>
        </w:rPr>
        <w:t xml:space="preserve"> </w:t>
      </w:r>
    </w:p>
    <w:p w14:paraId="488FDB67" w14:textId="77777777" w:rsidR="00632C5C" w:rsidRDefault="0092399C">
      <w:pPr>
        <w:spacing w:after="0"/>
        <w:ind w:left="173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51E0DACE" w14:textId="77777777" w:rsidR="00632C5C" w:rsidRDefault="0092399C">
      <w:pPr>
        <w:spacing w:after="0"/>
        <w:ind w:left="173"/>
        <w:jc w:val="center"/>
      </w:pP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3A36E941" w14:textId="77777777" w:rsidR="00632C5C" w:rsidRPr="008A59BF" w:rsidRDefault="0092399C">
      <w:pPr>
        <w:pStyle w:val="Nadpis1"/>
        <w:ind w:left="19" w:right="10"/>
        <w:rPr>
          <w:sz w:val="22"/>
        </w:rPr>
      </w:pPr>
      <w:r w:rsidRPr="008A59BF">
        <w:rPr>
          <w:sz w:val="22"/>
        </w:rPr>
        <w:t xml:space="preserve">SMLOUVA O POSKYTNUTÍ DOTACE  </w:t>
      </w:r>
    </w:p>
    <w:p w14:paraId="679F22F9" w14:textId="77777777" w:rsidR="00632C5C" w:rsidRPr="00F24227" w:rsidRDefault="0092399C">
      <w:pPr>
        <w:spacing w:after="5" w:line="248" w:lineRule="auto"/>
        <w:ind w:left="11" w:hanging="10"/>
        <w:jc w:val="center"/>
      </w:pPr>
      <w:r w:rsidRPr="008A59BF">
        <w:rPr>
          <w:rFonts w:ascii="Arial" w:eastAsia="Arial" w:hAnsi="Arial" w:cs="Arial"/>
        </w:rPr>
        <w:t xml:space="preserve">uzavřená na základě dohody smluvních stran nikoliv na úkor ochrany kterékoliv ze smluvních </w:t>
      </w:r>
    </w:p>
    <w:p w14:paraId="5F0DABC8" w14:textId="77777777" w:rsidR="00632C5C" w:rsidRPr="00F24227" w:rsidRDefault="0092399C">
      <w:pPr>
        <w:spacing w:after="5" w:line="248" w:lineRule="auto"/>
        <w:ind w:left="11" w:right="1" w:hanging="10"/>
        <w:jc w:val="center"/>
      </w:pPr>
      <w:r w:rsidRPr="008A59BF">
        <w:rPr>
          <w:rFonts w:ascii="Arial" w:eastAsia="Arial" w:hAnsi="Arial" w:cs="Arial"/>
        </w:rPr>
        <w:t xml:space="preserve">stran ve smyslu § 1746 odst. 2 zákona č. 89/2012 Sb., občanský zákoník, ve znění pozdějších předpisů (dále jen „občanský zákoník“)  </w:t>
      </w:r>
    </w:p>
    <w:p w14:paraId="2A840521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5C584ED" w14:textId="77777777" w:rsidR="00632C5C" w:rsidRPr="00F24227" w:rsidRDefault="0092399C">
      <w:pPr>
        <w:spacing w:after="0"/>
        <w:ind w:left="2"/>
        <w:jc w:val="center"/>
      </w:pPr>
      <w:r w:rsidRPr="008A59BF">
        <w:rPr>
          <w:rFonts w:ascii="Arial" w:eastAsia="Arial" w:hAnsi="Arial" w:cs="Arial"/>
          <w:b/>
          <w:color w:val="00B0F0"/>
        </w:rPr>
        <w:t xml:space="preserve">(ID dotace) </w:t>
      </w:r>
      <w:r w:rsidRPr="008A59BF">
        <w:rPr>
          <w:rFonts w:ascii="Arial" w:eastAsia="Arial" w:hAnsi="Arial" w:cs="Arial"/>
        </w:rPr>
        <w:t xml:space="preserve"> </w:t>
      </w:r>
    </w:p>
    <w:p w14:paraId="25894BF2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1F334035" w14:textId="77777777" w:rsidR="00632C5C" w:rsidRPr="008A59BF" w:rsidRDefault="0092399C">
      <w:pPr>
        <w:pStyle w:val="Nadpis1"/>
        <w:ind w:left="19" w:right="0"/>
        <w:rPr>
          <w:sz w:val="22"/>
        </w:rPr>
      </w:pPr>
      <w:r w:rsidRPr="008A59BF">
        <w:rPr>
          <w:sz w:val="22"/>
        </w:rPr>
        <w:t xml:space="preserve">Čl. 1 </w:t>
      </w:r>
      <w:r w:rsidR="009D3C3B" w:rsidRPr="008A59BF">
        <w:rPr>
          <w:sz w:val="22"/>
        </w:rPr>
        <w:br/>
      </w:r>
      <w:r w:rsidRPr="008A59BF">
        <w:rPr>
          <w:sz w:val="22"/>
        </w:rPr>
        <w:t xml:space="preserve">Smluvní strany  </w:t>
      </w:r>
    </w:p>
    <w:p w14:paraId="0C32FB10" w14:textId="77777777" w:rsidR="00632C5C" w:rsidRPr="00F24227" w:rsidRDefault="0092399C">
      <w:pPr>
        <w:spacing w:after="5"/>
        <w:ind w:left="14"/>
      </w:pPr>
      <w:r w:rsidRPr="008A59BF">
        <w:rPr>
          <w:rFonts w:ascii="Arial" w:eastAsia="Arial" w:hAnsi="Arial" w:cs="Arial"/>
        </w:rPr>
        <w:t xml:space="preserve">  </w:t>
      </w:r>
      <w:r w:rsidRPr="008A59BF">
        <w:rPr>
          <w:rFonts w:ascii="Arial" w:eastAsia="Arial" w:hAnsi="Arial" w:cs="Arial"/>
        </w:rPr>
        <w:tab/>
        <w:t xml:space="preserve"> </w:t>
      </w:r>
    </w:p>
    <w:p w14:paraId="1AD64512" w14:textId="77777777" w:rsidR="00055299" w:rsidRPr="008A59BF" w:rsidRDefault="0092399C">
      <w:pPr>
        <w:spacing w:after="4" w:line="252" w:lineRule="auto"/>
        <w:ind w:left="9" w:right="4086" w:hanging="10"/>
        <w:jc w:val="both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  <w:b/>
        </w:rPr>
        <w:t>Kraj Vysočina</w:t>
      </w:r>
      <w:r w:rsidRPr="008A59BF">
        <w:rPr>
          <w:rFonts w:ascii="Arial" w:eastAsia="Arial" w:hAnsi="Arial" w:cs="Arial"/>
        </w:rPr>
        <w:t xml:space="preserve">  </w:t>
      </w:r>
    </w:p>
    <w:p w14:paraId="2924761E" w14:textId="1BF37D8C" w:rsidR="00632C5C" w:rsidRPr="00F24227" w:rsidRDefault="0092399C">
      <w:pPr>
        <w:spacing w:after="4" w:line="252" w:lineRule="auto"/>
        <w:ind w:left="9" w:right="4086" w:hanging="10"/>
        <w:jc w:val="both"/>
      </w:pPr>
      <w:r w:rsidRPr="008A59BF">
        <w:rPr>
          <w:rFonts w:ascii="Arial" w:eastAsia="Arial" w:hAnsi="Arial" w:cs="Arial"/>
        </w:rPr>
        <w:t>se sídlem:  Žižkova 1882/57, 586 01</w:t>
      </w:r>
      <w:r w:rsidR="00467BEA">
        <w:rPr>
          <w:rFonts w:ascii="Arial" w:eastAsia="Arial" w:hAnsi="Arial" w:cs="Arial"/>
        </w:rPr>
        <w:t xml:space="preserve"> </w:t>
      </w:r>
      <w:r w:rsidRPr="008A59BF">
        <w:rPr>
          <w:rFonts w:ascii="Arial" w:eastAsia="Arial" w:hAnsi="Arial" w:cs="Arial"/>
        </w:rPr>
        <w:t xml:space="preserve">Jihlava  </w:t>
      </w:r>
    </w:p>
    <w:p w14:paraId="76D427AD" w14:textId="6F2FC972" w:rsidR="00632C5C" w:rsidRPr="00F24227" w:rsidRDefault="0092399C">
      <w:pPr>
        <w:tabs>
          <w:tab w:val="center" w:pos="1394"/>
          <w:tab w:val="center" w:pos="2551"/>
        </w:tabs>
        <w:spacing w:after="4" w:line="252" w:lineRule="auto"/>
        <w:ind w:left="-1"/>
      </w:pPr>
      <w:r w:rsidRPr="008A59BF">
        <w:rPr>
          <w:rFonts w:ascii="Arial" w:eastAsia="Arial" w:hAnsi="Arial" w:cs="Arial"/>
        </w:rPr>
        <w:t xml:space="preserve">IČO:  </w:t>
      </w:r>
      <w:r w:rsidR="00467BEA">
        <w:rPr>
          <w:rFonts w:ascii="Arial" w:eastAsia="Arial" w:hAnsi="Arial" w:cs="Arial"/>
        </w:rPr>
        <w:t xml:space="preserve">         </w:t>
      </w:r>
      <w:r w:rsidR="00467BEA">
        <w:rPr>
          <w:rFonts w:ascii="Arial" w:eastAsia="Arial" w:hAnsi="Arial" w:cs="Arial"/>
        </w:rPr>
        <w:tab/>
      </w:r>
      <w:r w:rsidRPr="008A59BF">
        <w:rPr>
          <w:rFonts w:ascii="Arial" w:eastAsia="Arial" w:hAnsi="Arial" w:cs="Arial"/>
        </w:rPr>
        <w:t xml:space="preserve">70890749  </w:t>
      </w:r>
    </w:p>
    <w:p w14:paraId="4402FC54" w14:textId="74E68A7D" w:rsidR="00632C5C" w:rsidRPr="00F24227" w:rsidRDefault="0092399C">
      <w:pPr>
        <w:tabs>
          <w:tab w:val="center" w:pos="4410"/>
        </w:tabs>
        <w:spacing w:after="4" w:line="252" w:lineRule="auto"/>
        <w:ind w:left="-1"/>
      </w:pPr>
      <w:r w:rsidRPr="008A59BF">
        <w:rPr>
          <w:rFonts w:ascii="Arial" w:eastAsia="Arial" w:hAnsi="Arial" w:cs="Arial"/>
        </w:rPr>
        <w:t xml:space="preserve">zastoupený: </w:t>
      </w:r>
      <w:r w:rsidR="00467BEA">
        <w:rPr>
          <w:rFonts w:ascii="Arial" w:eastAsia="Arial" w:hAnsi="Arial" w:cs="Arial"/>
        </w:rPr>
        <w:t>M</w:t>
      </w:r>
      <w:r w:rsidRPr="008A59BF">
        <w:rPr>
          <w:rFonts w:ascii="Arial" w:eastAsia="Arial" w:hAnsi="Arial" w:cs="Arial"/>
        </w:rPr>
        <w:t xml:space="preserve">gr. Vítězslavem Schrekem, MBA, hejtmanem kraje  </w:t>
      </w:r>
    </w:p>
    <w:p w14:paraId="4196EC52" w14:textId="77777777" w:rsidR="00467BEA" w:rsidRDefault="0092399C" w:rsidP="00467BEA">
      <w:pPr>
        <w:spacing w:after="2" w:line="251" w:lineRule="auto"/>
        <w:ind w:left="9" w:right="-31" w:hanging="10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</w:rPr>
        <w:t>k podpisu smlouvy pověřen: Ing. Vladimír Novotný, náměstek</w:t>
      </w:r>
      <w:r w:rsidR="00467BEA">
        <w:rPr>
          <w:rFonts w:ascii="Arial" w:eastAsia="Arial" w:hAnsi="Arial" w:cs="Arial"/>
        </w:rPr>
        <w:t xml:space="preserve"> hejtmana</w:t>
      </w:r>
    </w:p>
    <w:p w14:paraId="2DB85AB9" w14:textId="77777777" w:rsidR="00F65B34" w:rsidRDefault="00F65B34">
      <w:pPr>
        <w:spacing w:after="2" w:line="251" w:lineRule="auto"/>
        <w:ind w:left="9" w:right="2562" w:hanging="10"/>
        <w:rPr>
          <w:rFonts w:ascii="Arial" w:eastAsia="Arial" w:hAnsi="Arial" w:cs="Arial"/>
        </w:rPr>
      </w:pPr>
      <w:r w:rsidRPr="00430A76">
        <w:rPr>
          <w:rFonts w:ascii="Arial" w:eastAsia="Arial" w:hAnsi="Arial" w:cs="Arial"/>
        </w:rPr>
        <w:t xml:space="preserve">(dále jen “Kraj”)   </w:t>
      </w:r>
    </w:p>
    <w:p w14:paraId="147D35FD" w14:textId="77777777" w:rsidR="00F24227" w:rsidRDefault="00F24227">
      <w:pPr>
        <w:spacing w:after="2" w:line="251" w:lineRule="auto"/>
        <w:ind w:left="9" w:right="2562" w:hanging="10"/>
        <w:rPr>
          <w:rFonts w:ascii="Arial" w:eastAsia="Arial" w:hAnsi="Arial" w:cs="Arial"/>
        </w:rPr>
      </w:pPr>
      <w:r w:rsidRPr="00430A76">
        <w:rPr>
          <w:rFonts w:ascii="Arial" w:eastAsia="Arial" w:hAnsi="Arial" w:cs="Arial"/>
        </w:rPr>
        <w:t>bankovní spojení: Sberbank CZ, a. s. Jihlava</w:t>
      </w:r>
    </w:p>
    <w:p w14:paraId="228CE907" w14:textId="458B1427" w:rsidR="00055299" w:rsidRPr="008A59BF" w:rsidRDefault="00F24227" w:rsidP="008A59BF">
      <w:pPr>
        <w:spacing w:after="2" w:line="251" w:lineRule="auto"/>
        <w:ind w:left="1425" w:right="25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92399C" w:rsidRPr="008A59BF">
        <w:rPr>
          <w:rFonts w:ascii="Arial" w:eastAsia="Arial" w:hAnsi="Arial" w:cs="Arial"/>
        </w:rPr>
        <w:t xml:space="preserve">číslo účtu:  4050005211/6800  </w:t>
      </w:r>
    </w:p>
    <w:p w14:paraId="12D47B47" w14:textId="77777777" w:rsidR="00632C5C" w:rsidRPr="00F24227" w:rsidRDefault="00F24227" w:rsidP="008A59BF">
      <w:pPr>
        <w:spacing w:after="2" w:line="251" w:lineRule="auto"/>
        <w:ind w:right="2562"/>
      </w:pP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 w:rsidR="0092399C" w:rsidRPr="008A59BF">
        <w:rPr>
          <w:rFonts w:ascii="Arial" w:eastAsia="Arial" w:hAnsi="Arial" w:cs="Arial"/>
        </w:rPr>
        <w:t xml:space="preserve">variabilní symbol: </w:t>
      </w:r>
      <w:r w:rsidR="0092399C" w:rsidRPr="008A59BF">
        <w:rPr>
          <w:rFonts w:ascii="Arial" w:eastAsia="Arial" w:hAnsi="Arial" w:cs="Arial"/>
          <w:color w:val="00B0F0"/>
        </w:rPr>
        <w:t>.........................</w:t>
      </w:r>
      <w:r w:rsidR="0092399C" w:rsidRPr="008A59BF">
        <w:rPr>
          <w:rFonts w:ascii="Arial" w:eastAsia="Arial" w:hAnsi="Arial" w:cs="Arial"/>
        </w:rPr>
        <w:t xml:space="preserve">  </w:t>
      </w:r>
    </w:p>
    <w:p w14:paraId="7C89FC13" w14:textId="0390FCC1" w:rsidR="00632C5C" w:rsidRPr="00F24227" w:rsidRDefault="0092399C">
      <w:pPr>
        <w:tabs>
          <w:tab w:val="center" w:pos="2138"/>
        </w:tabs>
        <w:spacing w:after="4" w:line="252" w:lineRule="auto"/>
        <w:ind w:left="-1"/>
      </w:pPr>
      <w:r w:rsidRPr="008A59BF">
        <w:rPr>
          <w:rFonts w:ascii="Arial" w:eastAsia="Arial" w:hAnsi="Arial" w:cs="Arial"/>
        </w:rPr>
        <w:tab/>
      </w:r>
      <w:r w:rsidRPr="008A59BF">
        <w:rPr>
          <w:rFonts w:ascii="Arial" w:eastAsia="Arial" w:hAnsi="Arial" w:cs="Arial"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54986853" w14:textId="77777777" w:rsidR="00632C5C" w:rsidRPr="00F24227" w:rsidRDefault="0092399C">
      <w:pPr>
        <w:spacing w:after="0"/>
      </w:pPr>
      <w:r w:rsidRPr="008A59BF">
        <w:rPr>
          <w:rFonts w:ascii="Arial" w:eastAsia="Arial" w:hAnsi="Arial" w:cs="Arial"/>
        </w:rPr>
        <w:t xml:space="preserve"> </w:t>
      </w:r>
    </w:p>
    <w:p w14:paraId="75E72911" w14:textId="77777777" w:rsidR="00632C5C" w:rsidRPr="00F24227" w:rsidRDefault="0092399C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 xml:space="preserve">a  </w:t>
      </w:r>
    </w:p>
    <w:p w14:paraId="401F671D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0FC399C8" w14:textId="77777777" w:rsidR="00632C5C" w:rsidRPr="00F24227" w:rsidRDefault="0092399C">
      <w:pPr>
        <w:spacing w:after="2" w:line="251" w:lineRule="auto"/>
        <w:ind w:left="9" w:right="7619" w:hanging="10"/>
      </w:pPr>
      <w:r w:rsidRPr="008A59BF">
        <w:rPr>
          <w:rFonts w:ascii="Arial" w:eastAsia="Arial" w:hAnsi="Arial" w:cs="Arial"/>
          <w:b/>
        </w:rPr>
        <w:t xml:space="preserve">………………. </w:t>
      </w:r>
      <w:r w:rsidRPr="008A59BF">
        <w:rPr>
          <w:rFonts w:ascii="Arial" w:eastAsia="Arial" w:hAnsi="Arial" w:cs="Arial"/>
        </w:rPr>
        <w:t xml:space="preserve">se sídlem: </w:t>
      </w: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IČO:  </w:t>
      </w:r>
    </w:p>
    <w:p w14:paraId="5DEF43C1" w14:textId="77777777" w:rsidR="00632C5C" w:rsidRPr="00F24227" w:rsidRDefault="0092399C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 xml:space="preserve">zastoupen:  </w:t>
      </w:r>
    </w:p>
    <w:p w14:paraId="3F07227F" w14:textId="77777777" w:rsidR="00F65B34" w:rsidRPr="00430A76" w:rsidRDefault="00F65B34" w:rsidP="00F65B34">
      <w:pPr>
        <w:spacing w:after="4" w:line="252" w:lineRule="auto"/>
        <w:ind w:left="9" w:hanging="10"/>
        <w:jc w:val="both"/>
      </w:pPr>
      <w:r w:rsidRPr="00430A76">
        <w:rPr>
          <w:rFonts w:ascii="Arial" w:eastAsia="Arial" w:hAnsi="Arial" w:cs="Arial"/>
        </w:rPr>
        <w:t xml:space="preserve">(dále jen “Příjemce”)   </w:t>
      </w:r>
    </w:p>
    <w:p w14:paraId="0FC344BF" w14:textId="77777777" w:rsidR="00296128" w:rsidRPr="008A59BF" w:rsidRDefault="0092399C" w:rsidP="008A59BF">
      <w:pPr>
        <w:spacing w:after="4" w:line="252" w:lineRule="auto"/>
        <w:ind w:right="6079"/>
        <w:jc w:val="both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</w:rPr>
        <w:t xml:space="preserve">bankovní spojení:  </w:t>
      </w:r>
      <w:r w:rsidRPr="008A59BF">
        <w:rPr>
          <w:rFonts w:ascii="Arial" w:eastAsia="Arial" w:hAnsi="Arial" w:cs="Arial"/>
        </w:rPr>
        <w:tab/>
        <w:t xml:space="preserve"> </w:t>
      </w:r>
    </w:p>
    <w:p w14:paraId="5131085C" w14:textId="0284689C" w:rsidR="00632C5C" w:rsidRPr="00F24227" w:rsidRDefault="0092399C">
      <w:pPr>
        <w:spacing w:after="4" w:line="252" w:lineRule="auto"/>
        <w:ind w:left="9" w:right="6079" w:hanging="10"/>
        <w:jc w:val="both"/>
      </w:pPr>
      <w:r w:rsidRPr="008A59BF">
        <w:rPr>
          <w:rFonts w:ascii="Arial" w:eastAsia="Arial" w:hAnsi="Arial" w:cs="Arial"/>
        </w:rPr>
        <w:t>číslo</w:t>
      </w:r>
      <w:r w:rsidR="00F65B34">
        <w:rPr>
          <w:rFonts w:ascii="Arial" w:eastAsia="Arial" w:hAnsi="Arial" w:cs="Arial"/>
        </w:rPr>
        <w:t xml:space="preserve"> </w:t>
      </w:r>
      <w:r w:rsidRPr="008A59BF">
        <w:rPr>
          <w:rFonts w:ascii="Arial" w:eastAsia="Arial" w:hAnsi="Arial" w:cs="Arial"/>
        </w:rPr>
        <w:t xml:space="preserve">účtu:....................................   </w:t>
      </w:r>
    </w:p>
    <w:p w14:paraId="54C75F35" w14:textId="22768B6A" w:rsidR="00632C5C" w:rsidRPr="00F24227" w:rsidRDefault="00632C5C">
      <w:pPr>
        <w:spacing w:after="0"/>
        <w:ind w:left="14"/>
      </w:pPr>
    </w:p>
    <w:p w14:paraId="7F9C49F8" w14:textId="77777777" w:rsidR="00632C5C" w:rsidRPr="008A59BF" w:rsidRDefault="0092399C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2 </w:t>
      </w:r>
      <w:r w:rsidR="009D3C3B" w:rsidRPr="008A59BF">
        <w:rPr>
          <w:sz w:val="22"/>
        </w:rPr>
        <w:br/>
      </w:r>
      <w:r w:rsidRPr="008A59BF">
        <w:rPr>
          <w:sz w:val="22"/>
        </w:rPr>
        <w:t xml:space="preserve">Účel smlouvy  </w:t>
      </w:r>
    </w:p>
    <w:p w14:paraId="29CEA781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77FCD5CE" w14:textId="77777777" w:rsidR="00632C5C" w:rsidRPr="00F24227" w:rsidRDefault="0092399C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 xml:space="preserve">Účelem této smlouvy je poskytnutí účelové veřejné finanční podpory z Fondu Vysočiny (dále jen „dotace“) na realizaci projektu </w:t>
      </w:r>
      <w:r w:rsidRPr="008A59BF">
        <w:rPr>
          <w:rFonts w:ascii="Arial" w:eastAsia="Arial" w:hAnsi="Arial" w:cs="Arial"/>
          <w:b/>
        </w:rPr>
        <w:t>„PODPORA ZAJIŠTĚNÍ STOMATOLOGICKÉ PÉČE 2022“</w:t>
      </w:r>
      <w:r w:rsidRPr="008A59BF">
        <w:rPr>
          <w:rFonts w:ascii="Arial" w:eastAsia="Arial" w:hAnsi="Arial" w:cs="Arial"/>
        </w:rPr>
        <w:t xml:space="preserve">, </w:t>
      </w:r>
      <w:r w:rsidRPr="008A59BF">
        <w:rPr>
          <w:rFonts w:ascii="Arial" w:eastAsia="Arial" w:hAnsi="Arial" w:cs="Arial"/>
        </w:rPr>
        <w:lastRenderedPageBreak/>
        <w:t xml:space="preserve">blíže specifikovaného v žádosti o poskytnutí dotace, která tvoří nedílnou součást této smlouvy jako Příloha č. 1 (dále jen „projekt“).   </w:t>
      </w:r>
    </w:p>
    <w:p w14:paraId="39A326CA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4313DD0A" w14:textId="77777777" w:rsidR="00632C5C" w:rsidRPr="008A59BF" w:rsidRDefault="0092399C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3 </w:t>
      </w:r>
      <w:r w:rsidR="009D3C3B" w:rsidRPr="008A59BF">
        <w:rPr>
          <w:sz w:val="22"/>
        </w:rPr>
        <w:br/>
      </w:r>
      <w:r w:rsidRPr="008A59BF">
        <w:rPr>
          <w:sz w:val="22"/>
        </w:rPr>
        <w:t xml:space="preserve">Závaznost návrhu </w:t>
      </w:r>
      <w:r w:rsidRPr="008A59BF">
        <w:rPr>
          <w:b w:val="0"/>
          <w:sz w:val="22"/>
        </w:rPr>
        <w:t xml:space="preserve"> </w:t>
      </w:r>
      <w:r w:rsidRPr="008A59BF">
        <w:rPr>
          <w:sz w:val="22"/>
        </w:rPr>
        <w:t xml:space="preserve"> </w:t>
      </w:r>
    </w:p>
    <w:p w14:paraId="6C139150" w14:textId="77777777" w:rsidR="00632C5C" w:rsidRPr="00F24227" w:rsidRDefault="0092399C">
      <w:pPr>
        <w:spacing w:after="0"/>
        <w:ind w:left="365"/>
      </w:pPr>
      <w:r w:rsidRPr="008A59BF">
        <w:rPr>
          <w:rFonts w:ascii="Arial" w:eastAsia="Arial" w:hAnsi="Arial" w:cs="Arial"/>
        </w:rPr>
        <w:t xml:space="preserve">  </w:t>
      </w:r>
    </w:p>
    <w:p w14:paraId="45BA8B3F" w14:textId="77777777" w:rsidR="00632C5C" w:rsidRPr="00F24227" w:rsidRDefault="0092399C">
      <w:pPr>
        <w:numPr>
          <w:ilvl w:val="0"/>
          <w:numId w:val="9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Doba platnosti tohoto návrhu smlouvy je omezena na 30 kalendářních dnů od prokazatelného doručení návrhu této smlouvy Příjemci.  </w:t>
      </w:r>
    </w:p>
    <w:p w14:paraId="207CB9F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6BF81166" w14:textId="77777777" w:rsidR="00632C5C" w:rsidRPr="00F24227" w:rsidRDefault="0092399C">
      <w:pPr>
        <w:numPr>
          <w:ilvl w:val="0"/>
          <w:numId w:val="9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>Pokud tento návrh smlouvy nebude Příjemcem akceptován a podepsaný oprávněnou osobou doručen Kraji na adresu uvedenou v záhlaví této smlouvy v termínu podle Čl. 3 odst. 1) této smlouvy nebo v tomto termínu Příjemce nepožádá Kraj o prodloužení termínu, návrh smlouvy zaniká a nárok na dotaci nevznikne.</w:t>
      </w: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6C064E0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3DEAB1BA" w14:textId="77777777" w:rsidR="00632C5C" w:rsidRPr="008A59BF" w:rsidRDefault="0092399C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4 </w:t>
      </w:r>
      <w:r w:rsidR="009D3C3B" w:rsidRPr="008A59BF">
        <w:rPr>
          <w:sz w:val="22"/>
        </w:rPr>
        <w:br/>
      </w:r>
      <w:r w:rsidRPr="008A59BF">
        <w:rPr>
          <w:sz w:val="22"/>
        </w:rPr>
        <w:t xml:space="preserve">Závazek Příjemce  </w:t>
      </w:r>
    </w:p>
    <w:p w14:paraId="6FB109E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75D6D5BC" w14:textId="77777777" w:rsidR="00632C5C" w:rsidRPr="00F24227" w:rsidRDefault="0092399C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Příjemce dotaci za podmínek stanovených v této smlouvě přijímá a zavazuje se, že bude projekt realizovat svým jménem, na svou vlastní odpovědnost, v souladu s právními předpisy a podmínkami této smlouvy.  </w:t>
      </w:r>
    </w:p>
    <w:p w14:paraId="4DD28B40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2134FD21" w14:textId="77777777" w:rsidR="00632C5C" w:rsidRPr="00F24227" w:rsidRDefault="0092399C">
      <w:pPr>
        <w:numPr>
          <w:ilvl w:val="0"/>
          <w:numId w:val="10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Příjemce se zavazuje vrátit dotaci do 15 kalendářních dnů ode dne, kdy Kraji písemně sdělí, že u projektu, který byl zrealizován, nebude nadále plnit podmínky dané touto smlouvou (udržitelnost, archivace, povinnost umožnit kontrolu,…) na účet uvedený v záhlaví této smlouvy.   </w:t>
      </w:r>
    </w:p>
    <w:p w14:paraId="08DF9D87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05AB02E9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0C9B6756" w14:textId="77777777" w:rsidR="00632C5C" w:rsidRPr="008A59BF" w:rsidRDefault="0092399C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5 </w:t>
      </w:r>
      <w:r w:rsidR="009D3C3B" w:rsidRPr="008A59BF">
        <w:rPr>
          <w:sz w:val="22"/>
        </w:rPr>
        <w:br/>
      </w:r>
      <w:r w:rsidRPr="008A59BF">
        <w:rPr>
          <w:sz w:val="22"/>
        </w:rPr>
        <w:t xml:space="preserve">Dotace   </w:t>
      </w:r>
    </w:p>
    <w:p w14:paraId="40D7F4AE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37D29805" w14:textId="77777777" w:rsidR="00632C5C" w:rsidRPr="00F24227" w:rsidRDefault="0092399C">
      <w:pPr>
        <w:numPr>
          <w:ilvl w:val="0"/>
          <w:numId w:val="11"/>
        </w:numPr>
        <w:spacing w:after="7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Kraj poskytuje Příjemci na projekt dotaci ve výši </w:t>
      </w:r>
      <w:r w:rsidRPr="008A59BF">
        <w:rPr>
          <w:rFonts w:ascii="Arial" w:eastAsia="Arial" w:hAnsi="Arial" w:cs="Arial"/>
          <w:color w:val="00B0F0"/>
        </w:rPr>
        <w:t>.............. Kč (slovy: .................. korun českých)</w:t>
      </w:r>
      <w:r w:rsidRPr="008A59BF">
        <w:rPr>
          <w:rFonts w:ascii="Arial" w:eastAsia="Arial" w:hAnsi="Arial" w:cs="Arial"/>
          <w:color w:val="FF0000"/>
        </w:rPr>
        <w:t>.</w:t>
      </w:r>
      <w:r w:rsidRPr="008A59BF">
        <w:rPr>
          <w:rFonts w:ascii="Arial" w:eastAsia="Arial" w:hAnsi="Arial" w:cs="Arial"/>
        </w:rPr>
        <w:t xml:space="preserve">  </w:t>
      </w:r>
    </w:p>
    <w:p w14:paraId="251EC55F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88680EA" w14:textId="77777777" w:rsidR="00632C5C" w:rsidRPr="00F24227" w:rsidRDefault="0092399C">
      <w:pPr>
        <w:numPr>
          <w:ilvl w:val="0"/>
          <w:numId w:val="11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Pro účely této smlouvy se rozumí:  </w:t>
      </w:r>
    </w:p>
    <w:p w14:paraId="4B0C5BB6" w14:textId="77777777" w:rsidR="00632C5C" w:rsidRPr="00F24227" w:rsidRDefault="0092399C">
      <w:pPr>
        <w:numPr>
          <w:ilvl w:val="1"/>
          <w:numId w:val="11"/>
        </w:numPr>
        <w:spacing w:after="4" w:line="252" w:lineRule="auto"/>
        <w:ind w:right="-5" w:hanging="350"/>
        <w:jc w:val="both"/>
      </w:pPr>
      <w:r w:rsidRPr="008A59BF">
        <w:rPr>
          <w:rFonts w:ascii="Arial" w:eastAsia="Arial" w:hAnsi="Arial" w:cs="Arial"/>
          <w:b/>
        </w:rPr>
        <w:t>Celkové náklady projektu</w:t>
      </w:r>
      <w:r w:rsidRPr="008A59BF">
        <w:rPr>
          <w:rFonts w:ascii="Arial" w:eastAsia="Arial" w:hAnsi="Arial" w:cs="Arial"/>
        </w:rPr>
        <w:t xml:space="preserve"> (objem projektu) jsou náklady tvořené součtem dotace a vlastním podílem Příjemce.  </w:t>
      </w:r>
    </w:p>
    <w:p w14:paraId="342732A1" w14:textId="77777777" w:rsidR="00632C5C" w:rsidRPr="00F24227" w:rsidRDefault="0092399C">
      <w:pPr>
        <w:numPr>
          <w:ilvl w:val="1"/>
          <w:numId w:val="11"/>
        </w:numPr>
        <w:spacing w:after="0"/>
        <w:ind w:right="-5" w:hanging="350"/>
        <w:jc w:val="both"/>
      </w:pPr>
      <w:r w:rsidRPr="008A59BF">
        <w:rPr>
          <w:rFonts w:ascii="Arial" w:eastAsia="Arial" w:hAnsi="Arial" w:cs="Arial"/>
          <w:b/>
        </w:rPr>
        <w:t>Vlastní podíl Příjemce</w:t>
      </w:r>
      <w:r w:rsidRPr="008A59BF">
        <w:rPr>
          <w:rFonts w:ascii="Arial" w:eastAsia="Arial" w:hAnsi="Arial" w:cs="Arial"/>
        </w:rPr>
        <w:t xml:space="preserve"> jsou prostředky, které jsou tvořeny vlastními prostředky Příjemce.   </w:t>
      </w:r>
    </w:p>
    <w:p w14:paraId="5ECE1856" w14:textId="77777777" w:rsidR="00632C5C" w:rsidRPr="00F24227" w:rsidRDefault="0092399C">
      <w:pPr>
        <w:spacing w:after="0"/>
        <w:ind w:left="365"/>
      </w:pPr>
      <w:r w:rsidRPr="008A59BF">
        <w:rPr>
          <w:rFonts w:ascii="Arial" w:eastAsia="Arial" w:hAnsi="Arial" w:cs="Arial"/>
        </w:rPr>
        <w:t xml:space="preserve">  </w:t>
      </w:r>
    </w:p>
    <w:tbl>
      <w:tblPr>
        <w:tblStyle w:val="TableGrid"/>
        <w:tblW w:w="8760" w:type="dxa"/>
        <w:tblInd w:w="19" w:type="dxa"/>
        <w:tblCellMar>
          <w:top w:w="13" w:type="dxa"/>
          <w:left w:w="70" w:type="dxa"/>
          <w:right w:w="8" w:type="dxa"/>
        </w:tblCellMar>
        <w:tblLook w:val="04A0" w:firstRow="1" w:lastRow="0" w:firstColumn="1" w:lastColumn="0" w:noHBand="0" w:noVBand="1"/>
      </w:tblPr>
      <w:tblGrid>
        <w:gridCol w:w="4831"/>
        <w:gridCol w:w="3929"/>
      </w:tblGrid>
      <w:tr w:rsidR="00632C5C" w:rsidRPr="00467BEA" w14:paraId="0E1F70CD" w14:textId="77777777">
        <w:trPr>
          <w:trHeight w:val="276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90E2" w14:textId="77777777" w:rsidR="00632C5C" w:rsidRPr="00F24227" w:rsidRDefault="0092399C">
            <w:r w:rsidRPr="008A59BF">
              <w:rPr>
                <w:rFonts w:ascii="Arial" w:eastAsia="Arial" w:hAnsi="Arial" w:cs="Arial"/>
                <w:b/>
              </w:rPr>
              <w:t xml:space="preserve">Celkové náklady projektu </w:t>
            </w:r>
            <w:r w:rsidRPr="008A59B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E852" w14:textId="77777777" w:rsidR="00632C5C" w:rsidRPr="00F24227" w:rsidRDefault="0092399C">
            <w:pPr>
              <w:ind w:right="59"/>
              <w:jc w:val="right"/>
            </w:pPr>
            <w:r w:rsidRPr="008A59BF">
              <w:rPr>
                <w:rFonts w:ascii="Arial" w:eastAsia="Arial" w:hAnsi="Arial" w:cs="Arial"/>
              </w:rPr>
              <w:t xml:space="preserve">X Kč </w:t>
            </w:r>
          </w:p>
        </w:tc>
      </w:tr>
      <w:tr w:rsidR="00632C5C" w:rsidRPr="00467BEA" w14:paraId="4E24BBBC" w14:textId="77777777">
        <w:trPr>
          <w:trHeight w:val="276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283C" w14:textId="77777777" w:rsidR="00632C5C" w:rsidRPr="00F24227" w:rsidRDefault="0092399C">
            <w:r w:rsidRPr="008A59BF">
              <w:rPr>
                <w:rFonts w:ascii="Arial" w:eastAsia="Arial" w:hAnsi="Arial" w:cs="Arial"/>
              </w:rPr>
              <w:t xml:space="preserve">Výše dotace v Kč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75BD" w14:textId="77777777" w:rsidR="00632C5C" w:rsidRPr="00F24227" w:rsidRDefault="0092399C">
            <w:pPr>
              <w:ind w:right="59"/>
              <w:jc w:val="right"/>
            </w:pPr>
            <w:r w:rsidRPr="008A59BF">
              <w:rPr>
                <w:rFonts w:ascii="Arial" w:eastAsia="Arial" w:hAnsi="Arial" w:cs="Arial"/>
              </w:rPr>
              <w:t xml:space="preserve">X Kč </w:t>
            </w:r>
          </w:p>
        </w:tc>
      </w:tr>
      <w:tr w:rsidR="00632C5C" w:rsidRPr="00467BEA" w14:paraId="779425B3" w14:textId="77777777">
        <w:trPr>
          <w:trHeight w:val="276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099" w14:textId="77777777" w:rsidR="00632C5C" w:rsidRPr="00F24227" w:rsidRDefault="0092399C">
            <w:r w:rsidRPr="008A59BF">
              <w:rPr>
                <w:rFonts w:ascii="Arial" w:eastAsia="Arial" w:hAnsi="Arial" w:cs="Arial"/>
              </w:rPr>
              <w:t xml:space="preserve">Výše dotace v % 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DD9A" w14:textId="77777777" w:rsidR="00632C5C" w:rsidRPr="00F24227" w:rsidRDefault="0092399C">
            <w:pPr>
              <w:ind w:right="58"/>
              <w:jc w:val="right"/>
            </w:pPr>
            <w:r w:rsidRPr="008A59BF">
              <w:rPr>
                <w:rFonts w:ascii="Arial" w:eastAsia="Arial" w:hAnsi="Arial" w:cs="Arial"/>
              </w:rPr>
              <w:t xml:space="preserve">X % z celkových nákladů na projekt </w:t>
            </w:r>
          </w:p>
        </w:tc>
      </w:tr>
      <w:tr w:rsidR="00632C5C" w:rsidRPr="00467BEA" w14:paraId="1A98A70A" w14:textId="77777777">
        <w:trPr>
          <w:trHeight w:val="274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2C2E" w14:textId="77777777" w:rsidR="00632C5C" w:rsidRPr="00F24227" w:rsidRDefault="0092399C">
            <w:r w:rsidRPr="008A59BF">
              <w:rPr>
                <w:rFonts w:ascii="Arial" w:eastAsia="Arial" w:hAnsi="Arial" w:cs="Arial"/>
              </w:rPr>
              <w:t xml:space="preserve">Vlastní podíl Příjemce v %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6C5" w14:textId="77777777" w:rsidR="00632C5C" w:rsidRPr="00F24227" w:rsidRDefault="0092399C">
            <w:pPr>
              <w:ind w:right="58"/>
              <w:jc w:val="right"/>
            </w:pPr>
            <w:r w:rsidRPr="008A59BF">
              <w:rPr>
                <w:rFonts w:ascii="Arial" w:eastAsia="Arial" w:hAnsi="Arial" w:cs="Arial"/>
              </w:rPr>
              <w:t xml:space="preserve">X % z celkových nákladů na projekt </w:t>
            </w:r>
          </w:p>
        </w:tc>
      </w:tr>
      <w:tr w:rsidR="00632C5C" w:rsidRPr="00467BEA" w14:paraId="57033D65" w14:textId="77777777">
        <w:trPr>
          <w:trHeight w:val="276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EB71" w14:textId="77777777" w:rsidR="00632C5C" w:rsidRPr="00F24227" w:rsidRDefault="0092399C">
            <w:r w:rsidRPr="008A59BF">
              <w:rPr>
                <w:rFonts w:ascii="Arial" w:eastAsia="Arial" w:hAnsi="Arial" w:cs="Arial"/>
              </w:rPr>
              <w:t xml:space="preserve">Vlastní podíl Příjemce v Kč 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52D3" w14:textId="77777777" w:rsidR="00632C5C" w:rsidRPr="00F24227" w:rsidRDefault="0092399C">
            <w:pPr>
              <w:ind w:right="59"/>
              <w:jc w:val="right"/>
            </w:pPr>
            <w:r w:rsidRPr="008A59BF">
              <w:rPr>
                <w:rFonts w:ascii="Arial" w:eastAsia="Arial" w:hAnsi="Arial" w:cs="Arial"/>
              </w:rPr>
              <w:t xml:space="preserve">X Kč </w:t>
            </w:r>
          </w:p>
        </w:tc>
      </w:tr>
    </w:tbl>
    <w:p w14:paraId="3257363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6C8A73D" w14:textId="77777777" w:rsidR="00632C5C" w:rsidRPr="00F24227" w:rsidRDefault="0092399C">
      <w:pPr>
        <w:numPr>
          <w:ilvl w:val="0"/>
          <w:numId w:val="11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lastRenderedPageBreak/>
        <w:t>Výše dotace uvedená v Čl. 5. odst. 1) této smlouvy je maximální. Pokud skutečné celkové náklady projektu překročí celkovou výši nákladů projektu uvedenou v tabulce v odst. 2), uhradí Příjemce částku tohoto překročení z vlastních zdrojů. Pokud budou skutečné celkové náklady projektu nižší než výše celkových nákladů projektu uvedených v tabulce v odst. 2), výše dotace uvedená v odst. 1) zůstane nezměněna pouze v případě, kdy bude vlastní podíl Příjemce stále tvořit minimální procentní hodnotu uvedenou ve výzvě k předkládání projektů (tj. 50</w:t>
      </w:r>
      <w:r w:rsidR="00F24227">
        <w:rPr>
          <w:rFonts w:ascii="Arial" w:eastAsia="Arial" w:hAnsi="Arial" w:cs="Arial"/>
        </w:rPr>
        <w:t xml:space="preserve"> </w:t>
      </w:r>
      <w:r w:rsidRPr="008A59BF">
        <w:rPr>
          <w:rFonts w:ascii="Arial" w:eastAsia="Arial" w:hAnsi="Arial" w:cs="Arial"/>
        </w:rPr>
        <w:t xml:space="preserve">%), v ostatních případech bude částka dotace úměrně snížena tak, aby byl vždy dodržen vlastní podíl příjemce uvedený v závorce výše.   </w:t>
      </w:r>
    </w:p>
    <w:p w14:paraId="6AC4AA45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15C5147A" w14:textId="7D75D0FA" w:rsidR="00632C5C" w:rsidRPr="00F24227" w:rsidRDefault="0092399C">
      <w:pPr>
        <w:numPr>
          <w:ilvl w:val="0"/>
          <w:numId w:val="11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Dotace je veřejnou finanční podporou ve smyslu zákona č. 320/2001 Sb., o finanční kontrole ve veřejné správě a o změně některých zákonů (zákon o finanční kontrole), </w:t>
      </w:r>
      <w:r w:rsidR="00C84E72">
        <w:rPr>
          <w:rFonts w:ascii="Arial" w:eastAsia="Arial" w:hAnsi="Arial" w:cs="Arial"/>
        </w:rPr>
        <w:t xml:space="preserve">          </w:t>
      </w:r>
      <w:r w:rsidRPr="008A59BF">
        <w:rPr>
          <w:rFonts w:ascii="Arial" w:eastAsia="Arial" w:hAnsi="Arial" w:cs="Arial"/>
        </w:rPr>
        <w:t xml:space="preserve">ve znění pozdějších předpisů, a vztahují se na ni všechna ustanovení tohoto zákona.  </w:t>
      </w:r>
    </w:p>
    <w:p w14:paraId="44AF4617" w14:textId="77777777" w:rsidR="00632C5C" w:rsidRPr="00F24227" w:rsidRDefault="0092399C">
      <w:pPr>
        <w:spacing w:after="0"/>
        <w:ind w:left="540"/>
      </w:pPr>
      <w:r w:rsidRPr="008A59BF">
        <w:rPr>
          <w:rFonts w:ascii="Arial" w:eastAsia="Arial" w:hAnsi="Arial" w:cs="Arial"/>
        </w:rPr>
        <w:t xml:space="preserve">  </w:t>
      </w:r>
    </w:p>
    <w:p w14:paraId="1320BBEC" w14:textId="38CF3355" w:rsidR="00632C5C" w:rsidRPr="00F24227" w:rsidRDefault="0092399C">
      <w:pPr>
        <w:numPr>
          <w:ilvl w:val="0"/>
          <w:numId w:val="11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Souběh dotace z několika programů Fondu Vysočiny či dalších dotačních titulů Kraje na realizaci jednoho projektu není možný. Souběh dotace z Fondu Vysočiny s dotacemi jiných poskytovatelů se nevylučuje. Výše poskytnutých dotací na projekt však v takovém případě nesmí přesáhnout 100 % celkových nákladů na projekt.   </w:t>
      </w:r>
    </w:p>
    <w:p w14:paraId="69D5FEDC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i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5C911024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44251AAE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5E7D6ABD" w14:textId="77777777" w:rsidR="00632C5C" w:rsidRPr="008A59BF" w:rsidRDefault="0092399C">
      <w:pPr>
        <w:pStyle w:val="Nadpis1"/>
        <w:ind w:left="19" w:right="7"/>
        <w:rPr>
          <w:sz w:val="22"/>
        </w:rPr>
      </w:pPr>
      <w:r w:rsidRPr="008A59BF">
        <w:rPr>
          <w:sz w:val="22"/>
        </w:rPr>
        <w:t xml:space="preserve">Čl. 6 </w:t>
      </w:r>
      <w:r w:rsidR="009D3C3B" w:rsidRPr="008A59BF">
        <w:rPr>
          <w:sz w:val="22"/>
        </w:rPr>
        <w:br/>
      </w:r>
      <w:r w:rsidRPr="008A59BF">
        <w:rPr>
          <w:sz w:val="22"/>
        </w:rPr>
        <w:t xml:space="preserve">Způsob poskytnutí dotace  </w:t>
      </w:r>
    </w:p>
    <w:p w14:paraId="0C74B339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740C4E05" w14:textId="77777777" w:rsidR="00632C5C" w:rsidRPr="00F24227" w:rsidRDefault="0092399C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>Dotace bude poskytnuta jednorázově bankovním převodem na účet Příjemce, a to nejpozději do 60</w:t>
      </w:r>
      <w:r w:rsidRPr="008A59BF">
        <w:rPr>
          <w:rFonts w:ascii="Arial" w:eastAsia="Arial" w:hAnsi="Arial" w:cs="Arial"/>
          <w:color w:val="00B0F0"/>
        </w:rPr>
        <w:t xml:space="preserve"> </w:t>
      </w:r>
      <w:r w:rsidRPr="008A59BF">
        <w:rPr>
          <w:rFonts w:ascii="Arial" w:eastAsia="Arial" w:hAnsi="Arial" w:cs="Arial"/>
        </w:rPr>
        <w:t xml:space="preserve">kalendářních dnů ode dne včasného, řádného a prokazatelného doručení závěrečné zprávy dle Čl. 8 písm. f) této smlouvy. V případě, že závěrečná zpráva nebude ani po případné výzvě předložena ve struktuře dle Čl. 8 písm. f) této smlouvy, nárok na vyplacení dotace bez dalšího zaniká.   </w:t>
      </w:r>
    </w:p>
    <w:p w14:paraId="171A1E7D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601060DF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</w:t>
      </w:r>
    </w:p>
    <w:p w14:paraId="6F614571" w14:textId="77777777" w:rsidR="00632C5C" w:rsidRPr="008A59BF" w:rsidRDefault="0092399C">
      <w:pPr>
        <w:pStyle w:val="Nadpis1"/>
        <w:ind w:left="19" w:right="7"/>
        <w:rPr>
          <w:sz w:val="22"/>
        </w:rPr>
      </w:pPr>
      <w:r w:rsidRPr="008A59BF">
        <w:rPr>
          <w:sz w:val="22"/>
        </w:rPr>
        <w:t xml:space="preserve">Čl. 7 </w:t>
      </w:r>
      <w:r w:rsidR="009D3C3B" w:rsidRPr="008A59BF">
        <w:rPr>
          <w:sz w:val="22"/>
        </w:rPr>
        <w:br/>
      </w:r>
      <w:r w:rsidRPr="008A59BF">
        <w:rPr>
          <w:sz w:val="22"/>
        </w:rPr>
        <w:t xml:space="preserve">Podmínky použití dotace </w:t>
      </w:r>
      <w:r w:rsidRPr="008A59BF">
        <w:rPr>
          <w:b w:val="0"/>
          <w:sz w:val="22"/>
        </w:rPr>
        <w:t xml:space="preserve"> </w:t>
      </w:r>
      <w:r w:rsidRPr="008A59BF">
        <w:rPr>
          <w:sz w:val="22"/>
        </w:rPr>
        <w:t xml:space="preserve"> </w:t>
      </w:r>
    </w:p>
    <w:p w14:paraId="01B1F89D" w14:textId="77777777" w:rsidR="00632C5C" w:rsidRPr="00F24227" w:rsidRDefault="0092399C">
      <w:pPr>
        <w:spacing w:after="0"/>
        <w:ind w:left="365"/>
      </w:pPr>
      <w:r w:rsidRPr="008A59BF">
        <w:rPr>
          <w:rFonts w:ascii="Arial" w:eastAsia="Arial" w:hAnsi="Arial" w:cs="Arial"/>
        </w:rPr>
        <w:t xml:space="preserve">  </w:t>
      </w:r>
    </w:p>
    <w:p w14:paraId="239B5C8E" w14:textId="77777777" w:rsidR="00632C5C" w:rsidRPr="00F24227" w:rsidRDefault="0092399C">
      <w:pPr>
        <w:numPr>
          <w:ilvl w:val="0"/>
          <w:numId w:val="12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Příjemce je oprávněn čerpat dotaci k realizaci projektu a povinen projekt zrealizovat nejdříve od 1. 1. 2022 nejpozději do 30. 9. 2023. Pouze v tomto období mohou vznikat uznatelné náklady na realizaci projektu.   </w:t>
      </w:r>
    </w:p>
    <w:p w14:paraId="1A3A6BF0" w14:textId="5CBFAD6B" w:rsidR="00632C5C" w:rsidRPr="00F24227" w:rsidRDefault="00632C5C" w:rsidP="008A59BF">
      <w:pPr>
        <w:spacing w:after="0"/>
      </w:pPr>
    </w:p>
    <w:p w14:paraId="4E4B9115" w14:textId="751B48CB" w:rsidR="00632C5C" w:rsidRPr="00DB6C66" w:rsidRDefault="0092399C">
      <w:pPr>
        <w:numPr>
          <w:ilvl w:val="0"/>
          <w:numId w:val="12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Čerpáním dotace se pro účely této smlouvy rozumí úhrada celkových nákladů souvisejících s realizací projektu, které nejsou touto smlouvou označeny jako náklady neuznatelné. Celkové náklady projektu ve skutečné výši musí být vyúčtovány, uhrazeny a promítnuty v účetnictví Příjemce nejpozději do dne uvedeného v Čl. 7 odst. 1) této smlouvy.  </w:t>
      </w:r>
    </w:p>
    <w:p w14:paraId="1DF3FC02" w14:textId="77777777" w:rsidR="00DB6C66" w:rsidRDefault="00DB6C66" w:rsidP="00DB6C66">
      <w:pPr>
        <w:pStyle w:val="Odstavecseseznamem"/>
      </w:pPr>
    </w:p>
    <w:p w14:paraId="32C4814B" w14:textId="77777777" w:rsidR="00DB6C66" w:rsidRPr="00F24227" w:rsidRDefault="00DB6C66" w:rsidP="00DB6C66">
      <w:pPr>
        <w:spacing w:after="4" w:line="252" w:lineRule="auto"/>
        <w:jc w:val="both"/>
      </w:pPr>
    </w:p>
    <w:p w14:paraId="4409A3A0" w14:textId="77777777" w:rsidR="00350722" w:rsidRPr="008A59BF" w:rsidRDefault="0092399C" w:rsidP="008B6083">
      <w:pPr>
        <w:spacing w:after="0"/>
        <w:ind w:left="14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</w:rPr>
        <w:lastRenderedPageBreak/>
        <w:t xml:space="preserve">  </w:t>
      </w:r>
    </w:p>
    <w:p w14:paraId="7AD66204" w14:textId="423C406C" w:rsidR="00632C5C" w:rsidRPr="00F24227" w:rsidRDefault="0092399C" w:rsidP="008A59BF">
      <w:pPr>
        <w:numPr>
          <w:ilvl w:val="0"/>
          <w:numId w:val="12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Neuznatelné náklady projektu jsou:   </w:t>
      </w:r>
      <w:r w:rsidR="009D3C3B" w:rsidRPr="00350722">
        <w:rPr>
          <w:rFonts w:ascii="Arial" w:hAnsi="Arial" w:cs="Arial"/>
        </w:rPr>
        <w:t xml:space="preserve"> </w:t>
      </w:r>
    </w:p>
    <w:p w14:paraId="0D7B1F21" w14:textId="1C803645" w:rsidR="00350722" w:rsidRPr="008A59BF" w:rsidRDefault="00350722">
      <w:pPr>
        <w:numPr>
          <w:ilvl w:val="1"/>
          <w:numId w:val="12"/>
        </w:numPr>
        <w:spacing w:after="59" w:line="252" w:lineRule="auto"/>
        <w:ind w:hanging="334"/>
        <w:jc w:val="both"/>
      </w:pPr>
      <w:r w:rsidRPr="00F24227">
        <w:rPr>
          <w:rFonts w:ascii="Arial" w:hAnsi="Arial" w:cs="Arial"/>
        </w:rPr>
        <w:t xml:space="preserve">platby daní a poplatků státnímu rozpočtu, daň z přidané hodnoty (s výjimkou uvedenou v Čl. 8 písm. d) této smlouvy), platby daní a poplatků krajům, obcím </w:t>
      </w:r>
      <w:r w:rsidRPr="00430A76">
        <w:rPr>
          <w:rFonts w:ascii="Arial" w:hAnsi="Arial" w:cs="Arial"/>
        </w:rPr>
        <w:br/>
        <w:t>a státním fondům</w:t>
      </w:r>
      <w:r w:rsidR="0092399C" w:rsidRPr="008A59BF">
        <w:rPr>
          <w:rFonts w:ascii="Arial" w:eastAsia="Arial" w:hAnsi="Arial" w:cs="Arial"/>
        </w:rPr>
        <w:t>,</w:t>
      </w:r>
    </w:p>
    <w:p w14:paraId="4765E937" w14:textId="7DAEB008" w:rsidR="00632C5C" w:rsidRPr="00F24227" w:rsidRDefault="00350722">
      <w:pPr>
        <w:numPr>
          <w:ilvl w:val="1"/>
          <w:numId w:val="12"/>
        </w:numPr>
        <w:spacing w:after="59" w:line="252" w:lineRule="auto"/>
        <w:ind w:hanging="334"/>
        <w:jc w:val="both"/>
      </w:pPr>
      <w:r w:rsidRPr="00430A76">
        <w:rPr>
          <w:rFonts w:ascii="Arial" w:eastAsia="Arial" w:hAnsi="Arial" w:cs="Arial"/>
        </w:rPr>
        <w:t>alkohol a tabákové výrobky</w:t>
      </w:r>
    </w:p>
    <w:p w14:paraId="2BB0AD9C" w14:textId="77777777" w:rsidR="00632C5C" w:rsidRPr="00F24227" w:rsidRDefault="0092399C">
      <w:pPr>
        <w:numPr>
          <w:ilvl w:val="1"/>
          <w:numId w:val="12"/>
        </w:numPr>
        <w:spacing w:after="63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náklady na nákup věcí osobní potřeby,  </w:t>
      </w:r>
    </w:p>
    <w:p w14:paraId="34011037" w14:textId="77777777" w:rsidR="00632C5C" w:rsidRPr="00F24227" w:rsidRDefault="0092399C">
      <w:pPr>
        <w:numPr>
          <w:ilvl w:val="1"/>
          <w:numId w:val="12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úhrada úvěrů a půjček,  </w:t>
      </w:r>
    </w:p>
    <w:p w14:paraId="27D7DFF4" w14:textId="77777777" w:rsidR="00632C5C" w:rsidRPr="00F24227" w:rsidRDefault="0092399C">
      <w:pPr>
        <w:numPr>
          <w:ilvl w:val="1"/>
          <w:numId w:val="12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penále, pokuty, náhrady škod a manka, náklady na právní spory,  </w:t>
      </w:r>
    </w:p>
    <w:p w14:paraId="1FB7628B" w14:textId="77777777" w:rsidR="00632C5C" w:rsidRPr="00F24227" w:rsidRDefault="0092399C">
      <w:pPr>
        <w:numPr>
          <w:ilvl w:val="1"/>
          <w:numId w:val="12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náklady na zajištění publicity projektu,  </w:t>
      </w:r>
    </w:p>
    <w:p w14:paraId="594C2C3C" w14:textId="77777777" w:rsidR="00632C5C" w:rsidRPr="00F24227" w:rsidRDefault="0092399C">
      <w:pPr>
        <w:numPr>
          <w:ilvl w:val="1"/>
          <w:numId w:val="12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dotace a dary,  </w:t>
      </w:r>
    </w:p>
    <w:p w14:paraId="5A49ED69" w14:textId="77777777" w:rsidR="00632C5C" w:rsidRPr="00F24227" w:rsidRDefault="0092399C">
      <w:pPr>
        <w:numPr>
          <w:ilvl w:val="1"/>
          <w:numId w:val="12"/>
        </w:numPr>
        <w:spacing w:after="61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náklady na pohoštění,  </w:t>
      </w:r>
    </w:p>
    <w:p w14:paraId="6125B966" w14:textId="009BDE3B" w:rsidR="00632C5C" w:rsidRPr="00F24227" w:rsidRDefault="0092399C" w:rsidP="008A59BF">
      <w:pPr>
        <w:numPr>
          <w:ilvl w:val="1"/>
          <w:numId w:val="12"/>
        </w:numPr>
        <w:spacing w:after="4" w:line="252" w:lineRule="auto"/>
        <w:ind w:left="1180" w:hanging="335"/>
        <w:jc w:val="both"/>
      </w:pPr>
      <w:r w:rsidRPr="008A59BF">
        <w:rPr>
          <w:rFonts w:ascii="Arial" w:eastAsia="Arial" w:hAnsi="Arial" w:cs="Arial"/>
        </w:rPr>
        <w:t>běžné provozní náklady (např. telefonní služby, energie, poplatky za připojení k síti, bankovní poplatky)</w:t>
      </w:r>
      <w:r w:rsidR="00A01BE7">
        <w:rPr>
          <w:rFonts w:ascii="Arial" w:eastAsia="Arial" w:hAnsi="Arial" w:cs="Arial"/>
        </w:rPr>
        <w:t>,</w:t>
      </w:r>
      <w:r w:rsidRPr="008A59BF">
        <w:rPr>
          <w:rFonts w:ascii="Arial" w:eastAsia="Arial" w:hAnsi="Arial" w:cs="Arial"/>
        </w:rPr>
        <w:t xml:space="preserve"> </w:t>
      </w:r>
    </w:p>
    <w:p w14:paraId="7F46593D" w14:textId="77777777" w:rsidR="00632C5C" w:rsidRPr="00F24227" w:rsidRDefault="0092399C" w:rsidP="008A59BF">
      <w:pPr>
        <w:numPr>
          <w:ilvl w:val="1"/>
          <w:numId w:val="12"/>
        </w:numPr>
        <w:spacing w:after="4" w:line="252" w:lineRule="auto"/>
        <w:ind w:left="1180" w:hanging="335"/>
        <w:jc w:val="both"/>
      </w:pPr>
      <w:r w:rsidRPr="008A59BF">
        <w:rPr>
          <w:rFonts w:ascii="Arial" w:eastAsia="Arial" w:hAnsi="Arial" w:cs="Arial"/>
        </w:rPr>
        <w:t xml:space="preserve">mzdové náklady, platy a ostatní osobní výdaje vč. povinného pojistného placeného zaměstnavatelem, </w:t>
      </w:r>
    </w:p>
    <w:p w14:paraId="48DA7B89" w14:textId="77777777" w:rsidR="00632C5C" w:rsidRPr="00F24227" w:rsidRDefault="0092399C">
      <w:pPr>
        <w:numPr>
          <w:ilvl w:val="1"/>
          <w:numId w:val="12"/>
        </w:numPr>
        <w:spacing w:after="97" w:line="252" w:lineRule="auto"/>
        <w:ind w:hanging="334"/>
        <w:jc w:val="both"/>
      </w:pPr>
      <w:r w:rsidRPr="008A59BF">
        <w:rPr>
          <w:rFonts w:ascii="Arial" w:eastAsia="Arial" w:hAnsi="Arial" w:cs="Arial"/>
        </w:rPr>
        <w:t xml:space="preserve">nákup nemovitosti.  </w:t>
      </w:r>
    </w:p>
    <w:p w14:paraId="00C212B6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30547EB9" w14:textId="77777777" w:rsidR="00632C5C" w:rsidRPr="00F24227" w:rsidRDefault="0092399C">
      <w:pPr>
        <w:numPr>
          <w:ilvl w:val="0"/>
          <w:numId w:val="12"/>
        </w:numPr>
        <w:spacing w:after="92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Uznatelné náklady projektu jsou:  </w:t>
      </w:r>
    </w:p>
    <w:p w14:paraId="348E584D" w14:textId="77777777" w:rsidR="00632C5C" w:rsidRPr="008B6083" w:rsidRDefault="0092399C">
      <w:pPr>
        <w:numPr>
          <w:ilvl w:val="2"/>
          <w:numId w:val="13"/>
        </w:numPr>
        <w:spacing w:after="69" w:line="249" w:lineRule="auto"/>
        <w:ind w:hanging="360"/>
      </w:pPr>
      <w:r w:rsidRPr="008B6083">
        <w:rPr>
          <w:rFonts w:ascii="Arial" w:eastAsia="Arial" w:hAnsi="Arial" w:cs="Arial"/>
        </w:rPr>
        <w:t xml:space="preserve">budovy, haly a stavby (výstavba ordinace),  </w:t>
      </w:r>
    </w:p>
    <w:p w14:paraId="53DE3FD3" w14:textId="77777777" w:rsidR="00632C5C" w:rsidRPr="00467BEA" w:rsidRDefault="0092399C">
      <w:pPr>
        <w:numPr>
          <w:ilvl w:val="2"/>
          <w:numId w:val="13"/>
        </w:numPr>
        <w:spacing w:after="69" w:line="249" w:lineRule="auto"/>
        <w:ind w:hanging="360"/>
      </w:pPr>
      <w:r w:rsidRPr="00467BEA">
        <w:rPr>
          <w:rFonts w:ascii="Arial" w:eastAsia="Arial" w:hAnsi="Arial" w:cs="Arial"/>
        </w:rPr>
        <w:t xml:space="preserve">technické zhodnocení včetně podlimitního (prostory stomatologické ordinace),  </w:t>
      </w:r>
    </w:p>
    <w:p w14:paraId="10436C8A" w14:textId="77777777" w:rsidR="00632C5C" w:rsidRPr="00467BEA" w:rsidRDefault="0092399C">
      <w:pPr>
        <w:numPr>
          <w:ilvl w:val="2"/>
          <w:numId w:val="13"/>
        </w:numPr>
        <w:spacing w:after="69" w:line="249" w:lineRule="auto"/>
        <w:ind w:hanging="360"/>
      </w:pPr>
      <w:r w:rsidRPr="00467BEA">
        <w:rPr>
          <w:rFonts w:ascii="Arial" w:eastAsia="Arial" w:hAnsi="Arial" w:cs="Arial"/>
        </w:rPr>
        <w:t xml:space="preserve">opravy a udržování (prostory stomatologické ordinace), </w:t>
      </w:r>
    </w:p>
    <w:p w14:paraId="05A7B511" w14:textId="77777777" w:rsidR="00632C5C" w:rsidRPr="00467BEA" w:rsidRDefault="0092399C">
      <w:pPr>
        <w:numPr>
          <w:ilvl w:val="2"/>
          <w:numId w:val="13"/>
        </w:numPr>
        <w:spacing w:after="69" w:line="249" w:lineRule="auto"/>
        <w:ind w:hanging="360"/>
      </w:pPr>
      <w:r w:rsidRPr="00467BEA">
        <w:rPr>
          <w:rFonts w:ascii="Arial" w:eastAsia="Arial" w:hAnsi="Arial" w:cs="Arial"/>
        </w:rPr>
        <w:t xml:space="preserve">nákup služeb (zajištění vybavení stomatologické ordinace),  </w:t>
      </w:r>
    </w:p>
    <w:p w14:paraId="0DD9F2DE" w14:textId="77777777" w:rsidR="00632C5C" w:rsidRPr="00467BEA" w:rsidRDefault="0092399C">
      <w:pPr>
        <w:numPr>
          <w:ilvl w:val="2"/>
          <w:numId w:val="13"/>
        </w:numPr>
        <w:spacing w:after="69" w:line="249" w:lineRule="auto"/>
        <w:ind w:hanging="360"/>
      </w:pPr>
      <w:r w:rsidRPr="00467BEA">
        <w:rPr>
          <w:rFonts w:ascii="Arial" w:eastAsia="Arial" w:hAnsi="Arial" w:cs="Arial"/>
        </w:rPr>
        <w:t xml:space="preserve">stroje, přístroje a zařízení (specifické vybavení stomatologické ordinace), </w:t>
      </w:r>
    </w:p>
    <w:p w14:paraId="7D46F022" w14:textId="77777777" w:rsidR="00632C5C" w:rsidRPr="00467BEA" w:rsidRDefault="0092399C">
      <w:pPr>
        <w:numPr>
          <w:ilvl w:val="2"/>
          <w:numId w:val="13"/>
        </w:numPr>
        <w:spacing w:after="69" w:line="249" w:lineRule="auto"/>
        <w:ind w:hanging="360"/>
      </w:pPr>
      <w:r w:rsidRPr="00467BEA">
        <w:rPr>
          <w:rFonts w:ascii="Arial" w:eastAsia="Arial" w:hAnsi="Arial" w:cs="Arial"/>
        </w:rPr>
        <w:t xml:space="preserve">dlouhodobý hmotný majetek (specifické vybavení stomatologické ordinace), </w:t>
      </w:r>
    </w:p>
    <w:p w14:paraId="25773F1D" w14:textId="76A93254" w:rsidR="00632C5C" w:rsidRPr="00467BEA" w:rsidRDefault="0092399C">
      <w:pPr>
        <w:numPr>
          <w:ilvl w:val="2"/>
          <w:numId w:val="13"/>
        </w:numPr>
        <w:spacing w:after="69" w:line="249" w:lineRule="auto"/>
        <w:ind w:hanging="360"/>
      </w:pPr>
      <w:r w:rsidRPr="00467BEA">
        <w:rPr>
          <w:rFonts w:ascii="Arial" w:eastAsia="Arial" w:hAnsi="Arial" w:cs="Arial"/>
        </w:rPr>
        <w:t xml:space="preserve">drobný dlouhodobý </w:t>
      </w:r>
      <w:r w:rsidR="009D3C3B" w:rsidRPr="00467BEA">
        <w:rPr>
          <w:rFonts w:ascii="Arial" w:eastAsia="Arial" w:hAnsi="Arial" w:cs="Arial"/>
        </w:rPr>
        <w:t xml:space="preserve">hmotný </w:t>
      </w:r>
      <w:r w:rsidRPr="00467BEA">
        <w:rPr>
          <w:rFonts w:ascii="Arial" w:eastAsia="Arial" w:hAnsi="Arial" w:cs="Arial"/>
        </w:rPr>
        <w:t xml:space="preserve">majetek (specifické vybavení stomatologické ordinace), </w:t>
      </w:r>
    </w:p>
    <w:p w14:paraId="6ABD11A0" w14:textId="77777777" w:rsidR="00632C5C" w:rsidRPr="00467BEA" w:rsidRDefault="0092399C">
      <w:pPr>
        <w:numPr>
          <w:ilvl w:val="2"/>
          <w:numId w:val="13"/>
        </w:numPr>
        <w:spacing w:after="69" w:line="249" w:lineRule="auto"/>
        <w:ind w:hanging="360"/>
      </w:pPr>
      <w:r w:rsidRPr="00467BEA">
        <w:rPr>
          <w:rFonts w:ascii="Arial" w:eastAsia="Arial" w:hAnsi="Arial" w:cs="Arial"/>
        </w:rPr>
        <w:t xml:space="preserve">výpočetní technika, </w:t>
      </w:r>
    </w:p>
    <w:p w14:paraId="725A1C03" w14:textId="77777777" w:rsidR="00632C5C" w:rsidRPr="00467BEA" w:rsidRDefault="0092399C">
      <w:pPr>
        <w:numPr>
          <w:ilvl w:val="2"/>
          <w:numId w:val="13"/>
        </w:numPr>
        <w:spacing w:after="0" w:line="249" w:lineRule="auto"/>
        <w:ind w:hanging="360"/>
      </w:pPr>
      <w:r w:rsidRPr="00467BEA">
        <w:rPr>
          <w:rFonts w:ascii="Arial" w:eastAsia="Arial" w:hAnsi="Arial" w:cs="Arial"/>
        </w:rPr>
        <w:t xml:space="preserve">programové vybavení, odměny za užití duševního vlastnictví, odměny za užití počítačových programů. </w:t>
      </w:r>
    </w:p>
    <w:p w14:paraId="05F186B8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1DC9FC6A" w14:textId="77777777" w:rsidR="00632C5C" w:rsidRPr="00F24227" w:rsidRDefault="0092399C">
      <w:pPr>
        <w:numPr>
          <w:ilvl w:val="0"/>
          <w:numId w:val="12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V případě, že dojde k rozporu mezi Čl. 7 odst. 3) této smlouvy a Přílohou č. 1 této smlouvy, použijí se přednostně ustanovení Čl. 7 odst. 3) této smlouvy. Pokud dojde k vzájemnému rozporu mezi Čl. 7 odst. 3) a odst. 4) této smlouvy, případně nebudou některé náklady uvedeny v těchto ustanoveních, platí, že se jedná o náklady neuznatelné.  </w:t>
      </w:r>
    </w:p>
    <w:p w14:paraId="68E5317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3BA89773" w14:textId="3F5514FC" w:rsidR="00632C5C" w:rsidRPr="00F24227" w:rsidRDefault="0092399C">
      <w:pPr>
        <w:numPr>
          <w:ilvl w:val="0"/>
          <w:numId w:val="12"/>
        </w:numPr>
        <w:spacing w:after="2" w:line="251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Vymezení neuznatelných a uznatelných nákladů dle Čl. 7 odst. 3) a odst. 4) této smlouvy vychází z definic jednotlivých položek druhového třídění rozpočtové skladby uvedených ve vyhlášce Ministerstva financí č. </w:t>
      </w:r>
      <w:r w:rsidR="00236F1A">
        <w:rPr>
          <w:rFonts w:ascii="Arial" w:eastAsia="Arial" w:hAnsi="Arial" w:cs="Arial"/>
        </w:rPr>
        <w:t>412</w:t>
      </w:r>
      <w:r w:rsidRPr="008A59BF">
        <w:rPr>
          <w:rFonts w:ascii="Arial" w:eastAsia="Arial" w:hAnsi="Arial" w:cs="Arial"/>
        </w:rPr>
        <w:t>/202</w:t>
      </w:r>
      <w:r w:rsidR="00236F1A">
        <w:rPr>
          <w:rFonts w:ascii="Arial" w:eastAsia="Arial" w:hAnsi="Arial" w:cs="Arial"/>
        </w:rPr>
        <w:t>1</w:t>
      </w:r>
      <w:r w:rsidRPr="008A59BF">
        <w:rPr>
          <w:rFonts w:ascii="Arial" w:eastAsia="Arial" w:hAnsi="Arial" w:cs="Arial"/>
        </w:rPr>
        <w:t xml:space="preserve"> Sb., o rozpočtové skladbě.  </w:t>
      </w:r>
    </w:p>
    <w:p w14:paraId="4DC6E71A" w14:textId="220FF7A2" w:rsidR="00632C5C" w:rsidRDefault="0092399C">
      <w:pPr>
        <w:spacing w:after="0"/>
        <w:ind w:left="14"/>
        <w:rPr>
          <w:rFonts w:ascii="Arial" w:eastAsia="Arial" w:hAnsi="Arial" w:cs="Arial"/>
        </w:rPr>
      </w:pPr>
      <w:r w:rsidRPr="008A59BF">
        <w:rPr>
          <w:rFonts w:ascii="Arial" w:eastAsia="Arial" w:hAnsi="Arial" w:cs="Arial"/>
        </w:rPr>
        <w:t xml:space="preserve">  </w:t>
      </w:r>
    </w:p>
    <w:p w14:paraId="599BBF11" w14:textId="186195BD" w:rsidR="00DB6C66" w:rsidRDefault="00DB6C66">
      <w:pPr>
        <w:spacing w:after="0"/>
        <w:ind w:left="14"/>
        <w:rPr>
          <w:rFonts w:ascii="Arial" w:eastAsia="Arial" w:hAnsi="Arial" w:cs="Arial"/>
        </w:rPr>
      </w:pPr>
    </w:p>
    <w:p w14:paraId="629C9F7E" w14:textId="77777777" w:rsidR="00632C5C" w:rsidRPr="008A59BF" w:rsidRDefault="0092399C">
      <w:pPr>
        <w:pStyle w:val="Nadpis1"/>
        <w:ind w:left="19" w:right="7"/>
        <w:rPr>
          <w:sz w:val="22"/>
        </w:rPr>
      </w:pPr>
      <w:r w:rsidRPr="008A59BF">
        <w:rPr>
          <w:sz w:val="22"/>
        </w:rPr>
        <w:lastRenderedPageBreak/>
        <w:t xml:space="preserve">Čl. 8  </w:t>
      </w:r>
    </w:p>
    <w:p w14:paraId="2D9F96D1" w14:textId="77777777" w:rsidR="00296128" w:rsidRPr="008A59BF" w:rsidRDefault="0092399C">
      <w:pPr>
        <w:spacing w:after="1" w:line="256" w:lineRule="auto"/>
        <w:ind w:left="165" w:right="2177" w:firstLine="2916"/>
        <w:rPr>
          <w:rFonts w:ascii="Arial" w:eastAsia="Arial" w:hAnsi="Arial" w:cs="Arial"/>
          <w:b/>
        </w:rPr>
      </w:pPr>
      <w:r w:rsidRPr="008A59BF">
        <w:rPr>
          <w:rFonts w:ascii="Arial" w:eastAsia="Arial" w:hAnsi="Arial" w:cs="Arial"/>
          <w:b/>
        </w:rPr>
        <w:t xml:space="preserve">Základní povinnosti Příjemce   </w:t>
      </w:r>
    </w:p>
    <w:p w14:paraId="5E6994EF" w14:textId="77777777" w:rsidR="00632C5C" w:rsidRPr="00F24227" w:rsidRDefault="0092399C" w:rsidP="00296128">
      <w:pPr>
        <w:spacing w:after="1" w:line="256" w:lineRule="auto"/>
        <w:ind w:right="2177"/>
      </w:pPr>
      <w:r w:rsidRPr="008A59BF">
        <w:rPr>
          <w:rFonts w:ascii="Arial" w:eastAsia="Arial" w:hAnsi="Arial" w:cs="Arial"/>
        </w:rPr>
        <w:t xml:space="preserve">Příjemce se zavazuje:  </w:t>
      </w:r>
    </w:p>
    <w:p w14:paraId="138379D5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dotaci přijmout,  </w:t>
      </w:r>
    </w:p>
    <w:p w14:paraId="35E58E29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realizovat projekt při dodržování této smlouvy a respektování zásad zdravého finančního řízení, zejména efektivnosti a hospodárnosti,  </w:t>
      </w:r>
    </w:p>
    <w:p w14:paraId="428B940F" w14:textId="750FC820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vést účetnictví v souladu s obecně platnými předpisy, zejm. zákonem č. 563/1991 Sb., </w:t>
      </w:r>
      <w:r w:rsidR="00070833" w:rsidRPr="008A59BF">
        <w:rPr>
          <w:rFonts w:ascii="Arial" w:eastAsia="Arial" w:hAnsi="Arial" w:cs="Arial"/>
        </w:rPr>
        <w:br/>
      </w:r>
      <w:r w:rsidRPr="008A59BF">
        <w:rPr>
          <w:rFonts w:ascii="Arial" w:eastAsia="Arial" w:hAnsi="Arial" w:cs="Arial"/>
        </w:rPr>
        <w:t xml:space="preserve">o účetnictví, ve znění pozdějších předpisů (dále jen „zákon o účetnictví), a </w:t>
      </w:r>
      <w:r w:rsidRPr="008A59BF">
        <w:rPr>
          <w:rFonts w:ascii="Arial" w:eastAsia="Arial" w:hAnsi="Arial" w:cs="Arial"/>
          <w:b/>
        </w:rPr>
        <w:t>zajistit řádné a oddělené sledování celkových nákladů na projekt</w:t>
      </w:r>
      <w:r w:rsidRPr="008A59BF">
        <w:rPr>
          <w:rFonts w:ascii="Arial" w:eastAsia="Arial" w:hAnsi="Arial" w:cs="Arial"/>
        </w:rPr>
        <w:t xml:space="preserve"> (např. analytickým účtem, účelovým znakem, střediskem, činností, ORGem apod.). Pokud Příjemce nevede účetnictví podle zákona o účetnictví, je povinen vést daňovou evidenci podle zákona č. 586/1992 Sb., o daních z příjmů, ve znění pozdějších předpisů, rozšířenou tak, aby příslušné doklady vztahující se k dotaci splňovaly náležitosti účetního dokladu ve smyslu § 11 zákona o účetnictví, aby předmětné doklady byly správné, úplné, průkazné, srozumitelné, vedené v písemné formě chronologicky a způsobem zaručujícím jejich trvalost a aby uskutečněné příjmy  a výdaje byly v daňové evidenci sledovány odděleně</w:t>
      </w:r>
      <w:r w:rsidRPr="008A59BF">
        <w:rPr>
          <w:rFonts w:ascii="Arial" w:eastAsia="Arial" w:hAnsi="Arial" w:cs="Arial"/>
          <w:b/>
        </w:rPr>
        <w:t xml:space="preserve"> ve vztahu k projektu</w:t>
      </w:r>
      <w:r w:rsidRPr="008A59BF">
        <w:rPr>
          <w:rFonts w:ascii="Arial" w:eastAsia="Arial" w:hAnsi="Arial" w:cs="Arial"/>
        </w:rPr>
        <w:t xml:space="preserve"> (na dokladech musí být jednoznačně uvedeno, že se vážou k projektu). Příjemce odpovídá za řádné vedení a viditelné označení </w:t>
      </w:r>
      <w:r w:rsidRPr="008A59BF">
        <w:rPr>
          <w:rFonts w:ascii="Arial" w:eastAsia="Arial" w:hAnsi="Arial" w:cs="Arial"/>
          <w:b/>
        </w:rPr>
        <w:t>prvotních účetních dokladů</w:t>
      </w:r>
      <w:r w:rsidRPr="008A59BF">
        <w:rPr>
          <w:rFonts w:ascii="Arial" w:eastAsia="Arial" w:hAnsi="Arial" w:cs="Arial"/>
        </w:rPr>
        <w:t xml:space="preserve"> prokazujících celkové náklady projektu (faktury, výdajové pokladní doklady, paragony, účtenky apod.) uvedením </w:t>
      </w:r>
    </w:p>
    <w:p w14:paraId="7FBBE321" w14:textId="77777777" w:rsidR="00632C5C" w:rsidRPr="00F24227" w:rsidRDefault="0092399C">
      <w:pPr>
        <w:spacing w:after="1" w:line="256" w:lineRule="auto"/>
        <w:ind w:left="900" w:right="2177" w:hanging="10"/>
      </w:pPr>
      <w:r w:rsidRPr="008A59BF">
        <w:rPr>
          <w:rFonts w:ascii="Arial" w:eastAsia="Arial" w:hAnsi="Arial" w:cs="Arial"/>
        </w:rPr>
        <w:t>„</w:t>
      </w:r>
      <w:r w:rsidRPr="008A59BF">
        <w:rPr>
          <w:rFonts w:ascii="Arial" w:eastAsia="Arial" w:hAnsi="Arial" w:cs="Arial"/>
          <w:b/>
        </w:rPr>
        <w:t xml:space="preserve">spolufinancováno z Fondu Vysočiny ID </w:t>
      </w:r>
      <w:r w:rsidRPr="008A59BF">
        <w:rPr>
          <w:rFonts w:ascii="Arial" w:eastAsia="Arial" w:hAnsi="Arial" w:cs="Arial"/>
          <w:b/>
          <w:color w:val="00B0F0"/>
        </w:rPr>
        <w:t>..............</w:t>
      </w:r>
      <w:r w:rsidRPr="008A59BF">
        <w:rPr>
          <w:rFonts w:ascii="Arial" w:eastAsia="Arial" w:hAnsi="Arial" w:cs="Arial"/>
          <w:b/>
        </w:rPr>
        <w:t>“</w:t>
      </w:r>
      <w:r w:rsidRPr="008A59BF">
        <w:rPr>
          <w:rFonts w:ascii="Arial" w:eastAsia="Arial" w:hAnsi="Arial" w:cs="Arial"/>
        </w:rPr>
        <w:t xml:space="preserve">,   </w:t>
      </w:r>
    </w:p>
    <w:p w14:paraId="66056777" w14:textId="5C2D8535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zajistit, aby do celkových nákladů na projekt nebyly zahrnuty náklady na vlastní daně, (vyjma daní z mezd a odměn zaměstnanců, pokud jsou mzdové a ostatní osobní náklady touto smlouvou definovány jako uznatelné). Všechny náklady musí být kalkulovány bez daně z přidané hodnoty (dále jen „DPH“) v případě, kdy Příjemce je jejím plátcem. Výjimkou jsou pouze takové náklady, u nichž Příjemce nemůže uplatnit odpočet DPH na vstupu podle zákona č. 235/2004 Sb., o dani z přidané hodnoty, ve znění pozdějších předpisů. V takovém případě může Příjemce dotaci využít i na finanční krytí takové DPH, která je účtována jako náklad. (V případě aplikace režimu přenesení daňové povinnosti ve smyslu § 92e zákona č. 235/2004 Sb., o dani z přidané hodnoty, ve znění pozdějších předpisů, uhradit DPH nejpozději do data ukončení realizace projektu uvedeného v Čl. 7 odst.1) této smlouvy). Úhradou DPH je v tomto případě myšlen převod na účet příslušeného Finančního úřadu nebo na zvláštní bankovní účet Příjemce, zřízený speciálně pro účely daňových záloh,   </w:t>
      </w:r>
    </w:p>
    <w:p w14:paraId="76F8CDDC" w14:textId="595C2E60" w:rsidR="00632C5C" w:rsidRPr="00F24227" w:rsidRDefault="0092399C" w:rsidP="008A59BF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prokázat úhradu celkových nákladů projektu, a to buď výpisem ze svého bankovního účtu (možno i výpisem z elektronického bankovnictví) nebo svými pokladními doklady,   </w:t>
      </w:r>
    </w:p>
    <w:p w14:paraId="41FE5D0B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doručit Kraji finanční vypořádání dotace na formuláři závěrečné zprávy, jejíž vzor je umístěn na </w:t>
      </w:r>
      <w:r w:rsidRPr="008A59BF">
        <w:rPr>
          <w:rFonts w:ascii="Arial" w:eastAsia="Arial" w:hAnsi="Arial" w:cs="Arial"/>
          <w:color w:val="0000FF"/>
          <w:u w:val="single" w:color="0000FF"/>
        </w:rPr>
        <w:t>www.fondvysociny.cz</w:t>
      </w:r>
      <w:r w:rsidRPr="008A59BF">
        <w:rPr>
          <w:rFonts w:ascii="Arial" w:eastAsia="Arial" w:hAnsi="Arial" w:cs="Arial"/>
        </w:rPr>
        <w:t xml:space="preserve"> v materiálech u příslušného programu, a to nejpozději do 31. 10. 2023.</w:t>
      </w:r>
      <w:r w:rsidRPr="008A59BF">
        <w:rPr>
          <w:rFonts w:ascii="Arial" w:eastAsia="Arial" w:hAnsi="Arial" w:cs="Arial"/>
          <w:color w:val="00B0F0"/>
        </w:rPr>
        <w:t xml:space="preserve"> </w:t>
      </w:r>
      <w:r w:rsidRPr="008A59BF">
        <w:rPr>
          <w:rFonts w:ascii="Arial" w:eastAsia="Arial" w:hAnsi="Arial" w:cs="Arial"/>
        </w:rPr>
        <w:t xml:space="preserve">Přílohou formuláře závěrečné zprávy dále musí být:  </w:t>
      </w:r>
    </w:p>
    <w:p w14:paraId="56444D08" w14:textId="77777777" w:rsidR="00632C5C" w:rsidRPr="00F24227" w:rsidRDefault="0092399C">
      <w:pPr>
        <w:numPr>
          <w:ilvl w:val="1"/>
          <w:numId w:val="14"/>
        </w:numPr>
        <w:spacing w:after="4" w:line="252" w:lineRule="auto"/>
        <w:ind w:left="1065" w:hanging="175"/>
        <w:jc w:val="both"/>
      </w:pPr>
      <w:r w:rsidRPr="008A59BF">
        <w:rPr>
          <w:rFonts w:ascii="Arial" w:eastAsia="Arial" w:hAnsi="Arial" w:cs="Arial"/>
        </w:rPr>
        <w:t xml:space="preserve">fotodokumentace zrealizovaného projektu vč. povinné publicity,   </w:t>
      </w:r>
    </w:p>
    <w:p w14:paraId="154C042D" w14:textId="77777777" w:rsidR="00632C5C" w:rsidRPr="00F24227" w:rsidRDefault="0092399C">
      <w:pPr>
        <w:numPr>
          <w:ilvl w:val="1"/>
          <w:numId w:val="14"/>
        </w:numPr>
        <w:spacing w:after="4" w:line="252" w:lineRule="auto"/>
        <w:ind w:left="1065" w:hanging="175"/>
        <w:jc w:val="both"/>
      </w:pPr>
      <w:r w:rsidRPr="008A59BF">
        <w:rPr>
          <w:rFonts w:ascii="Arial" w:eastAsia="Arial" w:hAnsi="Arial" w:cs="Arial"/>
        </w:rPr>
        <w:t xml:space="preserve">kopie účetních dokladů o výši celkových nákladů projektu a jejich úhradě,  </w:t>
      </w:r>
    </w:p>
    <w:p w14:paraId="2048E4C7" w14:textId="77777777" w:rsidR="00632C5C" w:rsidRPr="00F24227" w:rsidRDefault="0092399C">
      <w:pPr>
        <w:numPr>
          <w:ilvl w:val="1"/>
          <w:numId w:val="14"/>
        </w:numPr>
        <w:spacing w:after="4" w:line="252" w:lineRule="auto"/>
        <w:ind w:left="1065" w:hanging="175"/>
        <w:jc w:val="both"/>
      </w:pPr>
      <w:r w:rsidRPr="008A59BF">
        <w:rPr>
          <w:rFonts w:ascii="Arial" w:eastAsia="Arial" w:hAnsi="Arial" w:cs="Arial"/>
        </w:rPr>
        <w:t xml:space="preserve">kopie záznamů prokazující zaúčtování a oddělené sledování celkových nákladů projektu dle Čl. 8 písm. c), např. výpis z účetního deníku, hlavní knihy, peněžního deníku, apod.“  </w:t>
      </w:r>
    </w:p>
    <w:p w14:paraId="277D6323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zajistit publicitu v souladu s Čl. 10 této smlouvy,  </w:t>
      </w:r>
    </w:p>
    <w:p w14:paraId="1050FC13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zajistit udržitelnost projektu v souladu s Čl. 11 této smlouvy,  </w:t>
      </w:r>
    </w:p>
    <w:p w14:paraId="0DE32DE3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lastRenderedPageBreak/>
        <w:t xml:space="preserve">že v případě pokud dojde, bez předchozího souhlasu Kraje, k jeho přeměně nebo zrušení s likvidací (§ 10a odst. 5 písm. k) zákona č. 250/2000 Sb., o rozpočtových pravidlech územních rozpočtů, ve znění pozdějších předpisů) přede dnem předložení závěrečné zprávy dle Čl. 8 bodu f) je povinen do 15 kalendářních dnů ode dne tohoto rozhodnutí vrátit celou částku dotace, a dále  pak pokud nastane tato skutečnost až v průběhu udržitelnosti projektu stanovené dle Čl. 11 této smlouvy, pak opět vrátí do 15 dnů od tohoto rozhodnutí celou částku dotace,   </w:t>
      </w:r>
    </w:p>
    <w:p w14:paraId="5F640DCB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zajistit poskytování primární ambulantní péče v oboru zubní lékařství novým nebo navazujícím poskytovatelem v příslušné obci  po dobu minimálně 5 let od zahájení poskytování zdravotních služeb s tím, že nejzazší termín zahájení poskytování zdravotních služeb je do 31. 12. 2023,  </w:t>
      </w:r>
    </w:p>
    <w:p w14:paraId="1C7204A8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umožnit kontrolu v souladu s Čl. 9 této smlouvy,  </w:t>
      </w:r>
    </w:p>
    <w:p w14:paraId="5D2967B0" w14:textId="77777777" w:rsidR="00632C5C" w:rsidRPr="00F24227" w:rsidRDefault="0092399C">
      <w:pPr>
        <w:numPr>
          <w:ilvl w:val="0"/>
          <w:numId w:val="14"/>
        </w:numPr>
        <w:spacing w:after="4" w:line="252" w:lineRule="auto"/>
        <w:ind w:left="890" w:hanging="350"/>
        <w:jc w:val="both"/>
      </w:pPr>
      <w:r w:rsidRPr="008A59BF">
        <w:rPr>
          <w:rFonts w:ascii="Arial" w:eastAsia="Arial" w:hAnsi="Arial" w:cs="Arial"/>
        </w:rPr>
        <w:t xml:space="preserve">uchovat po dobu, kdy je Kraj oprávněn provádět kontrolu dle Čl. 9 odst. 2) této smlouvy, originály dokladů prokazující celkové náklady projektu (faktury, paragony, účtenky, výdajové pokladní doklady apod.), jejich úhradu a zaúčtování.  </w:t>
      </w:r>
    </w:p>
    <w:p w14:paraId="187BAFCB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</w:t>
      </w:r>
    </w:p>
    <w:p w14:paraId="5C13C4F4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7D77A60B" w14:textId="77777777" w:rsidR="00632C5C" w:rsidRPr="008A59BF" w:rsidRDefault="0092399C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9 </w:t>
      </w:r>
      <w:r w:rsidR="00E602EA" w:rsidRPr="008A59BF">
        <w:rPr>
          <w:sz w:val="22"/>
        </w:rPr>
        <w:br/>
      </w:r>
      <w:r w:rsidRPr="008A59BF">
        <w:rPr>
          <w:sz w:val="22"/>
        </w:rPr>
        <w:t xml:space="preserve">Kontrola  </w:t>
      </w:r>
    </w:p>
    <w:p w14:paraId="7229F94A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4F4D917B" w14:textId="406BF6D6" w:rsidR="00632C5C" w:rsidRPr="00F24227" w:rsidRDefault="0092399C">
      <w:pPr>
        <w:numPr>
          <w:ilvl w:val="0"/>
          <w:numId w:val="15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  </w:t>
      </w:r>
    </w:p>
    <w:p w14:paraId="6DD2F06D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i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505E7025" w14:textId="77777777" w:rsidR="00632C5C" w:rsidRPr="00F24227" w:rsidRDefault="0092399C">
      <w:pPr>
        <w:numPr>
          <w:ilvl w:val="0"/>
          <w:numId w:val="15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Kraj je oprávněn provádět kontrolu v průběhu realizace projektu i po jeho dokončení, a to po dobu deseti let počítaných od 1. ledna roku následujícího po roce, v němž měla být splněna poslední z povinností stanovených Čl. 8 písm. a) – písm. j) této smlouvy.  </w:t>
      </w:r>
    </w:p>
    <w:p w14:paraId="520120AB" w14:textId="77777777" w:rsidR="00632C5C" w:rsidRPr="00F24227" w:rsidRDefault="0092399C">
      <w:pPr>
        <w:spacing w:after="0"/>
        <w:ind w:left="725"/>
      </w:pPr>
      <w:r w:rsidRPr="008A59BF">
        <w:rPr>
          <w:rFonts w:ascii="Arial" w:eastAsia="Arial" w:hAnsi="Arial" w:cs="Arial"/>
        </w:rPr>
        <w:t xml:space="preserve"> </w:t>
      </w:r>
    </w:p>
    <w:p w14:paraId="104F292C" w14:textId="77777777" w:rsidR="00632C5C" w:rsidRPr="00F24227" w:rsidRDefault="0092399C">
      <w:pPr>
        <w:numPr>
          <w:ilvl w:val="0"/>
          <w:numId w:val="15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Příjemce je povinen poskytnout součinnost při výkonu kontrolní činnosti dle Čl. 9 této smlouvy.   </w:t>
      </w:r>
    </w:p>
    <w:p w14:paraId="47EB49C9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287A84D4" w14:textId="77777777" w:rsidR="00632C5C" w:rsidRPr="00F24227" w:rsidRDefault="0092399C">
      <w:pPr>
        <w:spacing w:after="0"/>
        <w:ind w:left="116"/>
        <w:jc w:val="center"/>
      </w:pPr>
      <w:r w:rsidRPr="008A59BF">
        <w:rPr>
          <w:rFonts w:ascii="Arial" w:eastAsia="Arial" w:hAnsi="Arial" w:cs="Arial"/>
        </w:rPr>
        <w:t xml:space="preserve"> </w:t>
      </w:r>
    </w:p>
    <w:p w14:paraId="7F468690" w14:textId="77777777" w:rsidR="00632C5C" w:rsidRPr="008A59BF" w:rsidRDefault="0092399C">
      <w:pPr>
        <w:pStyle w:val="Nadpis1"/>
        <w:ind w:left="19" w:right="7"/>
        <w:rPr>
          <w:sz w:val="22"/>
        </w:rPr>
      </w:pPr>
      <w:r w:rsidRPr="008A59BF">
        <w:rPr>
          <w:sz w:val="22"/>
        </w:rPr>
        <w:t xml:space="preserve">Čl. 10 </w:t>
      </w:r>
      <w:r w:rsidR="00E602EA" w:rsidRPr="008A59BF">
        <w:rPr>
          <w:sz w:val="22"/>
        </w:rPr>
        <w:br/>
      </w:r>
      <w:r w:rsidRPr="008A59BF">
        <w:rPr>
          <w:sz w:val="22"/>
        </w:rPr>
        <w:t xml:space="preserve">Publicita  </w:t>
      </w:r>
    </w:p>
    <w:p w14:paraId="4FA54270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 </w:t>
      </w:r>
    </w:p>
    <w:p w14:paraId="11F2B3E8" w14:textId="77777777" w:rsidR="00632C5C" w:rsidRPr="00F24227" w:rsidRDefault="0092399C">
      <w:pPr>
        <w:numPr>
          <w:ilvl w:val="0"/>
          <w:numId w:val="16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Příjemce je povinen v případě informování sdělovacích prostředků o projektu uvést fakt, že projekt byl podpořen Krajem.  </w:t>
      </w:r>
    </w:p>
    <w:p w14:paraId="26EC905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C6B2BC1" w14:textId="77777777" w:rsidR="00632C5C" w:rsidRPr="00F24227" w:rsidRDefault="0092399C">
      <w:pPr>
        <w:numPr>
          <w:ilvl w:val="0"/>
          <w:numId w:val="16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Příjemce dotace je povinen prezentovat Kraj v následujícím rozsahu:  </w:t>
      </w:r>
    </w:p>
    <w:p w14:paraId="167A8181" w14:textId="672B485E" w:rsidR="00632C5C" w:rsidRPr="00F24227" w:rsidRDefault="0092399C">
      <w:pPr>
        <w:numPr>
          <w:ilvl w:val="1"/>
          <w:numId w:val="16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 místě realizace projektu umístit „Sponzorský vzkaz Kraje Vysočina“ v grafickém provedení a dle manuálu, který je ke stažení na </w:t>
      </w:r>
      <w:r w:rsidRPr="008A59BF">
        <w:rPr>
          <w:rFonts w:ascii="Arial" w:eastAsia="Arial" w:hAnsi="Arial" w:cs="Arial"/>
          <w:color w:val="0000FF"/>
          <w:u w:val="single" w:color="0000FF"/>
        </w:rPr>
        <w:t>www.kr-vysocina.cz/publicita</w:t>
      </w:r>
      <w:r w:rsidRPr="008A59BF">
        <w:rPr>
          <w:rFonts w:ascii="Arial" w:eastAsia="Arial" w:hAnsi="Arial" w:cs="Arial"/>
        </w:rPr>
        <w:t xml:space="preserve">, prostor s umístěným sponzorským vzkazem, či konkrétní majetek podpořený </w:t>
      </w:r>
      <w:r w:rsidR="00C84E72">
        <w:rPr>
          <w:rFonts w:ascii="Arial" w:eastAsia="Arial" w:hAnsi="Arial" w:cs="Arial"/>
        </w:rPr>
        <w:t xml:space="preserve">           </w:t>
      </w:r>
      <w:r w:rsidRPr="008A59BF">
        <w:rPr>
          <w:rFonts w:ascii="Arial" w:eastAsia="Arial" w:hAnsi="Arial" w:cs="Arial"/>
        </w:rPr>
        <w:t xml:space="preserve">v rámci projektu, musí být přístupný veřejnosti (např. u vstupu, u označení provozovny, ve vývěsce, u otevírací doby apod.). Alternativně je možné vylepit samolepku se „Sponzorským vzkazem Kraje Vysočina“, kterou obdrží Příjemce od </w:t>
      </w:r>
      <w:r w:rsidRPr="008A59BF">
        <w:rPr>
          <w:rFonts w:ascii="Arial" w:eastAsia="Arial" w:hAnsi="Arial" w:cs="Arial"/>
        </w:rPr>
        <w:lastRenderedPageBreak/>
        <w:t xml:space="preserve">kontaktní osoby uvedené v článku 13 odst. 3) této smlouvy. „Sponzorský vzkaz Kraje Vysočina“ musí být jednoznačně ztotožněn s realizovaným projektem (např. se uvede název realizovaného projektu),   </w:t>
      </w:r>
    </w:p>
    <w:p w14:paraId="74C6E509" w14:textId="140FA909" w:rsidR="00632C5C" w:rsidRPr="00F24227" w:rsidRDefault="0092399C">
      <w:pPr>
        <w:numPr>
          <w:ilvl w:val="1"/>
          <w:numId w:val="16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 případě slavnostního otevření/zprovoznění projektu umístit “Sponzorský vzkaz kraje“ na pozvánkách, plakátech, programech, vstupenkách apod., pokud jsou </w:t>
      </w:r>
      <w:r w:rsidR="00C84E72">
        <w:rPr>
          <w:rFonts w:ascii="Arial" w:eastAsia="Arial" w:hAnsi="Arial" w:cs="Arial"/>
        </w:rPr>
        <w:t xml:space="preserve">        </w:t>
      </w:r>
      <w:r w:rsidRPr="008A59BF">
        <w:rPr>
          <w:rFonts w:ascii="Arial" w:eastAsia="Arial" w:hAnsi="Arial" w:cs="Arial"/>
        </w:rPr>
        <w:t xml:space="preserve">k této příležitosti vytvářeny,  </w:t>
      </w:r>
    </w:p>
    <w:p w14:paraId="0D4D8CCC" w14:textId="77777777" w:rsidR="00632C5C" w:rsidRPr="00F24227" w:rsidRDefault="0092399C">
      <w:pPr>
        <w:numPr>
          <w:ilvl w:val="1"/>
          <w:numId w:val="16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verbálně prezentovat Kraj v médiích a na případných tiskových konferencích  pořádaných u příležitosti projektu,  </w:t>
      </w:r>
    </w:p>
    <w:p w14:paraId="731F31C4" w14:textId="77777777" w:rsidR="00632C5C" w:rsidRPr="00F24227" w:rsidRDefault="0092399C">
      <w:pPr>
        <w:numPr>
          <w:ilvl w:val="1"/>
          <w:numId w:val="16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 případě, že je projekt prezentován na internetových stránkách Příjemce nebo stránkách souvisejících s konáním realizace projektu, umístí Příjemce „Sponzorský vzkaz Kraje Vysočina“ s aktivním odkazem na  </w:t>
      </w:r>
      <w:r w:rsidRPr="008A59BF">
        <w:rPr>
          <w:rFonts w:ascii="Arial" w:eastAsia="Arial" w:hAnsi="Arial" w:cs="Arial"/>
          <w:color w:val="0000FF"/>
          <w:u w:val="single" w:color="0000FF"/>
        </w:rPr>
        <w:t>www.kr-vysocina.cz</w:t>
      </w:r>
      <w:r w:rsidRPr="008A59BF">
        <w:rPr>
          <w:rFonts w:ascii="Arial" w:eastAsia="Arial" w:hAnsi="Arial" w:cs="Arial"/>
        </w:rPr>
        <w:t xml:space="preserve">,  </w:t>
      </w:r>
    </w:p>
    <w:p w14:paraId="0EC52D3C" w14:textId="77777777" w:rsidR="00632C5C" w:rsidRPr="00F24227" w:rsidRDefault="0092399C">
      <w:pPr>
        <w:numPr>
          <w:ilvl w:val="1"/>
          <w:numId w:val="16"/>
        </w:numPr>
        <w:spacing w:after="4" w:line="252" w:lineRule="auto"/>
        <w:ind w:hanging="574"/>
        <w:jc w:val="both"/>
      </w:pPr>
      <w:r w:rsidRPr="008A59BF">
        <w:rPr>
          <w:rFonts w:ascii="Arial" w:eastAsia="Arial" w:hAnsi="Arial" w:cs="Arial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r w:rsidRPr="008A59BF">
        <w:rPr>
          <w:rFonts w:ascii="Arial" w:eastAsia="Arial" w:hAnsi="Arial" w:cs="Arial"/>
          <w:color w:val="0000FF"/>
          <w:u w:val="single" w:color="0000FF"/>
        </w:rPr>
        <w:t>www.kr-vysocina.cz/publicita</w:t>
      </w:r>
      <w:r w:rsidRPr="008A59BF">
        <w:rPr>
          <w:rFonts w:ascii="Arial" w:eastAsia="Arial" w:hAnsi="Arial" w:cs="Arial"/>
        </w:rPr>
        <w:t xml:space="preserve"> nebo nasdílení image spotu z YouTube kanálu Kraje Vysočina.  </w:t>
      </w:r>
    </w:p>
    <w:p w14:paraId="67117F11" w14:textId="7770F98A" w:rsidR="00632C5C" w:rsidRPr="00F24227" w:rsidRDefault="0092399C" w:rsidP="008A59BF">
      <w:pPr>
        <w:spacing w:after="0"/>
        <w:ind w:left="713"/>
      </w:pPr>
      <w:r w:rsidRPr="008A59BF">
        <w:rPr>
          <w:rFonts w:ascii="Arial" w:eastAsia="Arial" w:hAnsi="Arial" w:cs="Arial"/>
        </w:rPr>
        <w:t xml:space="preserve">  </w:t>
      </w:r>
    </w:p>
    <w:p w14:paraId="25449FA5" w14:textId="59B8D40E" w:rsidR="00632C5C" w:rsidRPr="00F24227" w:rsidRDefault="0092399C">
      <w:pPr>
        <w:numPr>
          <w:ilvl w:val="0"/>
          <w:numId w:val="16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Publicita dle Čl. 10 odst. 2) bude probíhat nejméně po dobu realizace projektu, a dále </w:t>
      </w:r>
      <w:r w:rsidR="00C84E72">
        <w:rPr>
          <w:rFonts w:ascii="Arial" w:eastAsia="Arial" w:hAnsi="Arial" w:cs="Arial"/>
        </w:rPr>
        <w:t xml:space="preserve">        </w:t>
      </w:r>
      <w:r w:rsidRPr="008A59BF">
        <w:rPr>
          <w:rFonts w:ascii="Arial" w:eastAsia="Arial" w:hAnsi="Arial" w:cs="Arial"/>
        </w:rPr>
        <w:t xml:space="preserve">v době udržitelnosti stanovené v Čl. 11.  </w:t>
      </w:r>
    </w:p>
    <w:p w14:paraId="54AD4911" w14:textId="77777777" w:rsidR="00632C5C" w:rsidRPr="00F24227" w:rsidRDefault="0092399C">
      <w:pPr>
        <w:spacing w:after="0"/>
        <w:ind w:left="566"/>
      </w:pPr>
      <w:r w:rsidRPr="008A59BF">
        <w:rPr>
          <w:rFonts w:ascii="Arial" w:eastAsia="Arial" w:hAnsi="Arial" w:cs="Arial"/>
        </w:rPr>
        <w:t xml:space="preserve"> </w:t>
      </w:r>
    </w:p>
    <w:p w14:paraId="16D8FFFF" w14:textId="69815DBA" w:rsidR="00632C5C" w:rsidRPr="00F24227" w:rsidRDefault="0092399C">
      <w:pPr>
        <w:numPr>
          <w:ilvl w:val="0"/>
          <w:numId w:val="16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„Logotyp Kraje Vysočina“ je ochrannou známkou, která požívá ochrany podle zákona </w:t>
      </w:r>
      <w:r w:rsidR="00C84E72">
        <w:rPr>
          <w:rFonts w:ascii="Arial" w:eastAsia="Arial" w:hAnsi="Arial" w:cs="Arial"/>
        </w:rPr>
        <w:t xml:space="preserve">       </w:t>
      </w:r>
      <w:r w:rsidRPr="008A59BF">
        <w:rPr>
          <w:rFonts w:ascii="Arial" w:eastAsia="Arial" w:hAnsi="Arial" w:cs="Arial"/>
        </w:rPr>
        <w:t xml:space="preserve">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  </w:t>
      </w:r>
    </w:p>
    <w:p w14:paraId="1DE1A5EB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74A6D866" w14:textId="77777777" w:rsidR="00632C5C" w:rsidRPr="00F24227" w:rsidRDefault="0092399C" w:rsidP="001204A1">
      <w:pPr>
        <w:spacing w:after="0"/>
        <w:ind w:left="713" w:right="4447"/>
        <w:jc w:val="both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   </w:t>
      </w:r>
    </w:p>
    <w:p w14:paraId="3FC8AB74" w14:textId="77777777" w:rsidR="00632C5C" w:rsidRPr="008A59BF" w:rsidRDefault="0092399C">
      <w:pPr>
        <w:pStyle w:val="Nadpis1"/>
        <w:ind w:left="19" w:right="5"/>
        <w:rPr>
          <w:sz w:val="22"/>
        </w:rPr>
      </w:pPr>
      <w:r w:rsidRPr="008A59BF">
        <w:rPr>
          <w:sz w:val="22"/>
        </w:rPr>
        <w:t xml:space="preserve">Čl. 11 </w:t>
      </w:r>
      <w:r w:rsidR="00E602EA" w:rsidRPr="008A59BF">
        <w:rPr>
          <w:sz w:val="22"/>
        </w:rPr>
        <w:br/>
      </w:r>
      <w:r w:rsidRPr="008A59BF">
        <w:rPr>
          <w:sz w:val="22"/>
        </w:rPr>
        <w:t>Udržitelnost projektu</w:t>
      </w:r>
      <w:r w:rsidRPr="008A59BF">
        <w:rPr>
          <w:b w:val="0"/>
          <w:sz w:val="22"/>
        </w:rPr>
        <w:t xml:space="preserve"> </w:t>
      </w:r>
      <w:r w:rsidRPr="008A59BF">
        <w:rPr>
          <w:sz w:val="22"/>
        </w:rPr>
        <w:t xml:space="preserve"> </w:t>
      </w:r>
    </w:p>
    <w:p w14:paraId="10665849" w14:textId="77777777" w:rsidR="00632C5C" w:rsidRPr="00F24227" w:rsidRDefault="0092399C">
      <w:pPr>
        <w:spacing w:after="0"/>
        <w:ind w:left="116"/>
        <w:jc w:val="center"/>
      </w:pPr>
      <w:r w:rsidRPr="008A59BF">
        <w:rPr>
          <w:rFonts w:ascii="Arial" w:eastAsia="Arial" w:hAnsi="Arial" w:cs="Arial"/>
        </w:rPr>
        <w:t xml:space="preserve"> </w:t>
      </w:r>
    </w:p>
    <w:p w14:paraId="4155A583" w14:textId="7576A80D" w:rsidR="00632C5C" w:rsidRPr="00F24227" w:rsidRDefault="0092399C">
      <w:pPr>
        <w:spacing w:after="4" w:line="252" w:lineRule="auto"/>
        <w:ind w:left="9" w:hanging="10"/>
        <w:jc w:val="both"/>
      </w:pPr>
      <w:r w:rsidRPr="008A59BF">
        <w:rPr>
          <w:rFonts w:ascii="Arial" w:eastAsia="Arial" w:hAnsi="Arial" w:cs="Arial"/>
        </w:rPr>
        <w:t xml:space="preserve">Příjemce je povinen nakládat po dobu pěti let ode dne nabytí platnosti této smlouvy s veškerým majetkem podpořeným  v rámci projektu dle této smlouvy v souladu se zaměřením projektu </w:t>
      </w:r>
      <w:r w:rsidR="00E602EA" w:rsidRPr="008A59BF">
        <w:rPr>
          <w:rFonts w:ascii="Arial" w:eastAsia="Arial" w:hAnsi="Arial" w:cs="Arial"/>
        </w:rPr>
        <w:br/>
      </w:r>
      <w:r w:rsidRPr="008A59BF">
        <w:rPr>
          <w:rFonts w:ascii="Arial" w:eastAsia="Arial" w:hAnsi="Arial" w:cs="Arial"/>
        </w:rPr>
        <w:t>a</w:t>
      </w:r>
      <w:r w:rsidR="00E602EA" w:rsidRPr="008A59BF">
        <w:rPr>
          <w:rFonts w:ascii="Arial" w:eastAsia="Arial" w:hAnsi="Arial" w:cs="Arial"/>
        </w:rPr>
        <w:t xml:space="preserve"> </w:t>
      </w:r>
      <w:r w:rsidRPr="008A59BF">
        <w:rPr>
          <w:rFonts w:ascii="Arial" w:eastAsia="Arial" w:hAnsi="Arial" w:cs="Arial"/>
        </w:rPr>
        <w:t xml:space="preserve">s péčí řádného hospodáře. Příjemce nesmí majetek podpořený z poskytnuté dotace či jeho část podpořenou z dotace po dobu pěti let od nabytí platnosti této smlouvy prodat, zastavit </w:t>
      </w:r>
      <w:r w:rsidR="00C84E72">
        <w:rPr>
          <w:rFonts w:ascii="Arial" w:eastAsia="Arial" w:hAnsi="Arial" w:cs="Arial"/>
        </w:rPr>
        <w:t xml:space="preserve">         </w:t>
      </w:r>
      <w:r w:rsidRPr="008A59BF">
        <w:rPr>
          <w:rFonts w:ascii="Arial" w:eastAsia="Arial" w:hAnsi="Arial" w:cs="Arial"/>
        </w:rPr>
        <w:t xml:space="preserve">či darovat bez vědomí a předchozího písemného souhlasu Kraje.  </w:t>
      </w:r>
    </w:p>
    <w:p w14:paraId="0DBB66E3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</w:rPr>
        <w:t xml:space="preserve">  </w:t>
      </w:r>
    </w:p>
    <w:p w14:paraId="6966D333" w14:textId="77777777" w:rsidR="00632C5C" w:rsidRPr="008A59BF" w:rsidRDefault="0092399C">
      <w:pPr>
        <w:pStyle w:val="Nadpis1"/>
        <w:ind w:left="19" w:right="7"/>
        <w:rPr>
          <w:sz w:val="22"/>
        </w:rPr>
      </w:pPr>
      <w:r w:rsidRPr="008A59BF">
        <w:rPr>
          <w:sz w:val="22"/>
        </w:rPr>
        <w:t xml:space="preserve">Čl. 12 </w:t>
      </w:r>
      <w:r w:rsidR="003168B3" w:rsidRPr="008A59BF">
        <w:rPr>
          <w:sz w:val="22"/>
        </w:rPr>
        <w:br/>
      </w:r>
      <w:r w:rsidRPr="008A59BF">
        <w:rPr>
          <w:sz w:val="22"/>
        </w:rPr>
        <w:t xml:space="preserve">Důsledky porušení povinností Příjemce  </w:t>
      </w:r>
    </w:p>
    <w:p w14:paraId="28C14955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b/>
          <w:i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6AB4C7C3" w14:textId="5DD1DF12" w:rsidR="00632C5C" w:rsidRPr="00F24227" w:rsidRDefault="0092399C" w:rsidP="008A59BF">
      <w:pPr>
        <w:numPr>
          <w:ilvl w:val="0"/>
          <w:numId w:val="17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t xml:space="preserve">V případě, že se Příjemce dopustí porušení rozpočtové kázně ve smyslu zákona </w:t>
      </w:r>
      <w:r w:rsidR="00C84E72">
        <w:rPr>
          <w:rFonts w:ascii="Arial" w:eastAsia="Arial" w:hAnsi="Arial" w:cs="Arial"/>
        </w:rPr>
        <w:t xml:space="preserve">                  </w:t>
      </w:r>
      <w:r w:rsidRPr="008A59BF">
        <w:rPr>
          <w:rFonts w:ascii="Arial" w:eastAsia="Arial" w:hAnsi="Arial" w:cs="Arial"/>
        </w:rPr>
        <w:t xml:space="preserve">č. 250/2000 Sb., o rozpočtových pravidlech územních rozpočtů, ve znění pozdějších předpisů, bude postupováno dle ustanovení tohoto zákona.    </w:t>
      </w:r>
    </w:p>
    <w:p w14:paraId="3460738F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733E081E" w14:textId="77777777" w:rsidR="00632C5C" w:rsidRPr="00F24227" w:rsidRDefault="0092399C">
      <w:pPr>
        <w:numPr>
          <w:ilvl w:val="0"/>
          <w:numId w:val="17"/>
        </w:numPr>
        <w:spacing w:after="4" w:line="252" w:lineRule="auto"/>
        <w:ind w:hanging="552"/>
        <w:jc w:val="both"/>
      </w:pPr>
      <w:r w:rsidRPr="008A59BF">
        <w:rPr>
          <w:rFonts w:ascii="Arial" w:eastAsia="Arial" w:hAnsi="Arial" w:cs="Arial"/>
        </w:rPr>
        <w:lastRenderedPageBreak/>
        <w:t xml:space="preserve">V případě že dotace ještě nebyla vyplacena, smlouva bez dalšího zaniká, a to ke dni rozhodnutí Příjemce o přeměně nebo zrušení s likvidací, pokud nebylo mezi smluvními stranami dodatkem této smlouvy dohodnuto jinak.   </w:t>
      </w:r>
    </w:p>
    <w:p w14:paraId="2DCA5891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46B47B48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14EA535F" w14:textId="77777777" w:rsidR="00632C5C" w:rsidRPr="008A59BF" w:rsidRDefault="0092399C">
      <w:pPr>
        <w:pStyle w:val="Nadpis1"/>
        <w:ind w:left="19" w:right="6"/>
        <w:rPr>
          <w:sz w:val="22"/>
        </w:rPr>
      </w:pPr>
      <w:r w:rsidRPr="008A59BF">
        <w:rPr>
          <w:sz w:val="22"/>
        </w:rPr>
        <w:t xml:space="preserve">Čl. 13 </w:t>
      </w:r>
      <w:r w:rsidR="003168B3" w:rsidRPr="008A59BF">
        <w:rPr>
          <w:sz w:val="22"/>
        </w:rPr>
        <w:br/>
      </w:r>
      <w:r w:rsidRPr="008A59BF">
        <w:rPr>
          <w:sz w:val="22"/>
        </w:rPr>
        <w:t xml:space="preserve">Závěrečná ujednání  </w:t>
      </w:r>
    </w:p>
    <w:p w14:paraId="7C8D31A9" w14:textId="77777777" w:rsidR="00632C5C" w:rsidRPr="00F24227" w:rsidRDefault="0092399C">
      <w:pPr>
        <w:spacing w:after="0"/>
        <w:ind w:left="173"/>
        <w:jc w:val="center"/>
      </w:pPr>
      <w:r w:rsidRPr="008A59BF">
        <w:rPr>
          <w:rFonts w:ascii="Arial" w:eastAsia="Arial" w:hAnsi="Arial" w:cs="Arial"/>
          <w:b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4FB70B8B" w14:textId="77777777" w:rsidR="00632C5C" w:rsidRPr="00F24227" w:rsidRDefault="0092399C">
      <w:pPr>
        <w:numPr>
          <w:ilvl w:val="0"/>
          <w:numId w:val="18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Tato smlouva nabývá platnosti dnem podpisu oprávněnými zástupci obou smluvních stran </w:t>
      </w:r>
      <w:r w:rsidR="003168B3" w:rsidRPr="008A59BF">
        <w:rPr>
          <w:rFonts w:ascii="Arial" w:eastAsia="Arial" w:hAnsi="Arial" w:cs="Arial"/>
        </w:rPr>
        <w:br/>
      </w:r>
      <w:r w:rsidRPr="008A59BF">
        <w:rPr>
          <w:rFonts w:ascii="Arial" w:eastAsia="Arial" w:hAnsi="Arial" w:cs="Arial"/>
        </w:rPr>
        <w:t xml:space="preserve">a účinnosti dnem uveřejnění v informačním systému veřejné správy - Registru smluv.  </w:t>
      </w:r>
    </w:p>
    <w:p w14:paraId="3C42A3BF" w14:textId="77777777" w:rsidR="00632C5C" w:rsidRPr="00F24227" w:rsidRDefault="0092399C">
      <w:pPr>
        <w:spacing w:after="0"/>
        <w:ind w:left="540"/>
      </w:pPr>
      <w:r w:rsidRPr="008A59BF">
        <w:rPr>
          <w:rFonts w:ascii="Arial" w:eastAsia="Arial" w:hAnsi="Arial" w:cs="Arial"/>
        </w:rPr>
        <w:t xml:space="preserve">  </w:t>
      </w:r>
    </w:p>
    <w:p w14:paraId="63909E77" w14:textId="163A1878" w:rsidR="00632C5C" w:rsidRPr="00F24227" w:rsidRDefault="0092399C">
      <w:pPr>
        <w:numPr>
          <w:ilvl w:val="0"/>
          <w:numId w:val="18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Smluvní strany se dohodly, že zákonnou povinnost dle § 5 odst. 2 zákona č. 340/2015 Sb., o zvláštních podmínkách účinnosti některých smluv, uveřejňování těchto smluv a o registru smluv (zákon o registru smluv), ve znění pozdějších předpisů, splní Kraj.  </w:t>
      </w:r>
    </w:p>
    <w:p w14:paraId="3E1C3165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A9FB453" w14:textId="77777777" w:rsidR="00632C5C" w:rsidRPr="00F24227" w:rsidRDefault="0092399C">
      <w:pPr>
        <w:numPr>
          <w:ilvl w:val="0"/>
          <w:numId w:val="18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Kontaktní osobou Kraje oprávněnou a povinnou poskytovat Příjemci veškerou nezbytnou součinnost dle této smlouvy je Bc. David Talpa, tel: 564 602 461, e-mail: </w:t>
      </w:r>
      <w:r w:rsidRPr="008A59BF">
        <w:rPr>
          <w:rFonts w:ascii="Arial" w:eastAsia="Arial" w:hAnsi="Arial" w:cs="Arial"/>
          <w:color w:val="0563C1"/>
          <w:u w:val="single" w:color="0563C1"/>
        </w:rPr>
        <w:t>talpa.d@krvysocina.cz</w:t>
      </w:r>
      <w:r w:rsidRPr="008A59BF">
        <w:rPr>
          <w:rFonts w:ascii="Arial" w:eastAsia="Arial" w:hAnsi="Arial" w:cs="Arial"/>
        </w:rPr>
        <w:t xml:space="preserve">. </w:t>
      </w:r>
    </w:p>
    <w:p w14:paraId="3BD5BCA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679C1E0" w14:textId="4DC97382" w:rsidR="00632C5C" w:rsidRPr="00F24227" w:rsidRDefault="0092399C" w:rsidP="008A59BF">
      <w:pPr>
        <w:numPr>
          <w:ilvl w:val="0"/>
          <w:numId w:val="18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>Jakékoli změny této smlouvy lze provádět pouze formou písemných postupně číslovaných dodatků na základě dohody obou smluvních stran s výjimkou změny Čl. 1 a Čl. 13 odst. 3) této smlouvy. Změnu identifikačních údajů Příjemce uvedených v Čl. 1 této smlouvy je oprávněn provést Příjemce jednostranně s tím, že tuto změnu je povinen oznámit Kraji.</w:t>
      </w:r>
      <w:r w:rsidRPr="008A59BF">
        <w:rPr>
          <w:rFonts w:ascii="Arial" w:eastAsia="Arial" w:hAnsi="Arial" w:cs="Arial"/>
          <w:color w:val="1F497B"/>
        </w:rPr>
        <w:t xml:space="preserve"> </w:t>
      </w:r>
      <w:r w:rsidRPr="008A59BF">
        <w:rPr>
          <w:rFonts w:ascii="Arial" w:eastAsia="Arial" w:hAnsi="Arial" w:cs="Arial"/>
        </w:rPr>
        <w:t xml:space="preserve"> Změnu Čl. 13 odst. 3) této smlouvy je oprávněn provést Kraj jednostranně s tím, že tuto změnu je povinen oznámit Příjemci. Změny v realizaci projektu, které zásadním způsobem mění jeho zaměření, není možné povolit.   </w:t>
      </w:r>
    </w:p>
    <w:p w14:paraId="480F794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14AD7164" w14:textId="77777777" w:rsidR="00632C5C" w:rsidRPr="00F24227" w:rsidRDefault="0092399C">
      <w:pPr>
        <w:numPr>
          <w:ilvl w:val="0"/>
          <w:numId w:val="18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Vztahy touto smlouvou neupravené se řídí příslušnými ustanoveními občanského zákoníku.  </w:t>
      </w:r>
    </w:p>
    <w:p w14:paraId="5CE3CAD0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29E88453" w14:textId="77777777" w:rsidR="00632C5C" w:rsidRPr="00F24227" w:rsidRDefault="0092399C">
      <w:pPr>
        <w:numPr>
          <w:ilvl w:val="0"/>
          <w:numId w:val="18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Vzhledem k veřejnoprávnímu charakteru Kraje Příjemce výslovně prohlašuje, že je s touto skutečností obeznámen a souhlasí se zveřejněním celého textu smlouvy včetně podpisů. Smluvní strany se zavazují, že obchodní a technické informace, které jim byly svěřeny druhou stranou mimo text této smlouvy, nezpřístupní třetím osobám bez písemného souhlasu druhé strany a nepoužijí tyto informace k jiným účelům, než je plnění podmínek této smlouvy.  </w:t>
      </w:r>
    </w:p>
    <w:p w14:paraId="58293A2B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0A9718B" w14:textId="219AED3B" w:rsidR="00632C5C" w:rsidRPr="00DB6C66" w:rsidRDefault="0092399C">
      <w:pPr>
        <w:numPr>
          <w:ilvl w:val="0"/>
          <w:numId w:val="18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Smluvní strany prohlašují, že tato smlouva byla sepsána na základě pravdivých údajů, podle jejich svobodné a vážné vůle, a na důkaz toho připojují své vlastnoruční podpisy.  </w:t>
      </w:r>
    </w:p>
    <w:p w14:paraId="7B15654B" w14:textId="77777777" w:rsidR="00DB6C66" w:rsidRDefault="00DB6C66" w:rsidP="00DB6C66">
      <w:pPr>
        <w:pStyle w:val="Odstavecseseznamem"/>
      </w:pPr>
    </w:p>
    <w:p w14:paraId="4F8BBBF6" w14:textId="1907A448" w:rsidR="00DB6C66" w:rsidRDefault="00DB6C66" w:rsidP="00DB6C66">
      <w:pPr>
        <w:spacing w:after="4" w:line="252" w:lineRule="auto"/>
        <w:jc w:val="both"/>
      </w:pPr>
    </w:p>
    <w:p w14:paraId="55360E56" w14:textId="6C8BCE72" w:rsidR="00DB6C66" w:rsidRDefault="00DB6C66" w:rsidP="00DB6C66">
      <w:pPr>
        <w:spacing w:after="4" w:line="252" w:lineRule="auto"/>
        <w:jc w:val="both"/>
      </w:pPr>
    </w:p>
    <w:p w14:paraId="4A7BDC08" w14:textId="77777777" w:rsidR="00DB6C66" w:rsidRPr="00F24227" w:rsidRDefault="00DB6C66" w:rsidP="00DB6C66">
      <w:pPr>
        <w:spacing w:after="4" w:line="252" w:lineRule="auto"/>
        <w:jc w:val="both"/>
      </w:pPr>
      <w:bookmarkStart w:id="0" w:name="_GoBack"/>
      <w:bookmarkEnd w:id="0"/>
    </w:p>
    <w:p w14:paraId="3F75A6E1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1F8FE739" w14:textId="77777777" w:rsidR="00632C5C" w:rsidRPr="00F24227" w:rsidRDefault="0092399C">
      <w:pPr>
        <w:numPr>
          <w:ilvl w:val="0"/>
          <w:numId w:val="18"/>
        </w:numPr>
        <w:spacing w:after="4" w:line="252" w:lineRule="auto"/>
        <w:ind w:hanging="526"/>
        <w:jc w:val="both"/>
      </w:pPr>
      <w:r w:rsidRPr="008A59BF">
        <w:rPr>
          <w:rFonts w:ascii="Arial" w:eastAsia="Arial" w:hAnsi="Arial" w:cs="Arial"/>
        </w:rPr>
        <w:lastRenderedPageBreak/>
        <w:t xml:space="preserve">Nedílnou součástí této smlouvy je: Příloha č. 1 - Žádost o poskytnutí dotace  </w:t>
      </w:r>
      <w:r w:rsidRPr="008A59BF">
        <w:rPr>
          <w:rFonts w:ascii="Arial" w:eastAsia="Arial" w:hAnsi="Arial" w:cs="Arial"/>
          <w:i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6EA6353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79558CEC" w14:textId="77777777" w:rsidR="00632C5C" w:rsidRPr="00F24227" w:rsidRDefault="0092399C">
      <w:pPr>
        <w:numPr>
          <w:ilvl w:val="0"/>
          <w:numId w:val="18"/>
        </w:numPr>
        <w:spacing w:after="7" w:line="252" w:lineRule="auto"/>
        <w:ind w:hanging="526"/>
        <w:jc w:val="both"/>
      </w:pPr>
      <w:r w:rsidRPr="008A59BF">
        <w:rPr>
          <w:rFonts w:ascii="Arial" w:eastAsia="Arial" w:hAnsi="Arial" w:cs="Arial"/>
        </w:rPr>
        <w:t xml:space="preserve">O poskytnutí dotace dle této smlouvy </w:t>
      </w:r>
      <w:r w:rsidRPr="008A59BF">
        <w:rPr>
          <w:rFonts w:ascii="Arial" w:eastAsia="Arial" w:hAnsi="Arial" w:cs="Arial"/>
          <w:color w:val="00B0F0"/>
        </w:rPr>
        <w:t xml:space="preserve">rozhodla Rada Kraje Vysočina / rozhodlo </w:t>
      </w:r>
      <w:r w:rsidRPr="008A59BF">
        <w:rPr>
          <w:rFonts w:ascii="Arial" w:eastAsia="Arial" w:hAnsi="Arial" w:cs="Arial"/>
        </w:rPr>
        <w:t xml:space="preserve"> </w:t>
      </w:r>
    </w:p>
    <w:p w14:paraId="620C2E3F" w14:textId="77777777" w:rsidR="00632C5C" w:rsidRPr="00F24227" w:rsidRDefault="0092399C">
      <w:pPr>
        <w:spacing w:after="0"/>
        <w:ind w:right="91"/>
        <w:jc w:val="center"/>
      </w:pPr>
      <w:r w:rsidRPr="008A59BF">
        <w:rPr>
          <w:rFonts w:ascii="Arial" w:eastAsia="Arial" w:hAnsi="Arial" w:cs="Arial"/>
          <w:color w:val="00B0F0"/>
        </w:rPr>
        <w:t>Zastupitelstvo Kraje Vysočina</w:t>
      </w:r>
      <w:r w:rsidRPr="008A59BF">
        <w:rPr>
          <w:rFonts w:ascii="Arial" w:eastAsia="Arial" w:hAnsi="Arial" w:cs="Arial"/>
        </w:rPr>
        <w:t xml:space="preserve"> dne </w:t>
      </w:r>
      <w:r w:rsidRPr="008A59BF">
        <w:rPr>
          <w:rFonts w:ascii="Arial" w:eastAsia="Arial" w:hAnsi="Arial" w:cs="Arial"/>
          <w:shd w:val="clear" w:color="auto" w:fill="FFFF00"/>
        </w:rPr>
        <w:t>.......................</w:t>
      </w:r>
      <w:r w:rsidRPr="008A59BF">
        <w:rPr>
          <w:rFonts w:ascii="Arial" w:eastAsia="Arial" w:hAnsi="Arial" w:cs="Arial"/>
        </w:rPr>
        <w:t xml:space="preserve"> usnesením č. </w:t>
      </w:r>
      <w:r w:rsidRPr="008A59BF">
        <w:rPr>
          <w:rFonts w:ascii="Arial" w:eastAsia="Arial" w:hAnsi="Arial" w:cs="Arial"/>
          <w:shd w:val="clear" w:color="auto" w:fill="FFFF00"/>
        </w:rPr>
        <w:t>.................................</w:t>
      </w:r>
      <w:r w:rsidRPr="008A59BF">
        <w:rPr>
          <w:rFonts w:ascii="Arial" w:eastAsia="Arial" w:hAnsi="Arial" w:cs="Arial"/>
        </w:rPr>
        <w:t xml:space="preserve">  </w:t>
      </w:r>
    </w:p>
    <w:p w14:paraId="0857121D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0F5E933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3A43678C" w14:textId="77777777" w:rsidR="00632C5C" w:rsidRPr="00F24227" w:rsidRDefault="0092399C">
      <w:pPr>
        <w:tabs>
          <w:tab w:val="center" w:pos="4150"/>
          <w:tab w:val="center" w:pos="6346"/>
        </w:tabs>
        <w:spacing w:after="4" w:line="252" w:lineRule="auto"/>
        <w:ind w:left="-1"/>
      </w:pPr>
      <w:r w:rsidRPr="008A59BF">
        <w:rPr>
          <w:rFonts w:ascii="Arial" w:eastAsia="Arial" w:hAnsi="Arial" w:cs="Arial"/>
        </w:rPr>
        <w:t xml:space="preserve">V ............................. dne ........................   </w:t>
      </w:r>
      <w:r w:rsidRPr="008A59BF">
        <w:rPr>
          <w:rFonts w:ascii="Arial" w:eastAsia="Arial" w:hAnsi="Arial" w:cs="Arial"/>
        </w:rPr>
        <w:tab/>
        <w:t xml:space="preserve">  </w:t>
      </w:r>
      <w:r w:rsidRPr="008A59BF">
        <w:rPr>
          <w:rFonts w:ascii="Arial" w:eastAsia="Arial" w:hAnsi="Arial" w:cs="Arial"/>
        </w:rPr>
        <w:tab/>
        <w:t xml:space="preserve">V Jihlavě dne ............................   </w:t>
      </w:r>
    </w:p>
    <w:p w14:paraId="46E83E46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6A9EA28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4F88DB7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50595E3E" w14:textId="77777777" w:rsidR="00632C5C" w:rsidRPr="00F24227" w:rsidRDefault="0092399C">
      <w:pPr>
        <w:spacing w:after="0"/>
        <w:ind w:left="14"/>
      </w:pPr>
      <w:r w:rsidRPr="008A59BF">
        <w:rPr>
          <w:rFonts w:ascii="Arial" w:eastAsia="Arial" w:hAnsi="Arial" w:cs="Arial"/>
        </w:rPr>
        <w:t xml:space="preserve">  </w:t>
      </w:r>
    </w:p>
    <w:p w14:paraId="0F8158D4" w14:textId="77777777" w:rsidR="00632C5C" w:rsidRPr="00F24227" w:rsidRDefault="0092399C">
      <w:pPr>
        <w:tabs>
          <w:tab w:val="center" w:pos="6676"/>
        </w:tabs>
        <w:spacing w:after="4" w:line="252" w:lineRule="auto"/>
        <w:ind w:left="-1"/>
      </w:pPr>
      <w:r w:rsidRPr="008A59BF">
        <w:rPr>
          <w:rFonts w:ascii="Arial" w:eastAsia="Arial" w:hAnsi="Arial" w:cs="Arial"/>
        </w:rPr>
        <w:t xml:space="preserve">.................................................................  </w:t>
      </w:r>
      <w:r w:rsidRPr="008A59BF">
        <w:rPr>
          <w:rFonts w:ascii="Arial" w:eastAsia="Arial" w:hAnsi="Arial" w:cs="Arial"/>
        </w:rPr>
        <w:tab/>
        <w:t xml:space="preserve">...............................................................   </w:t>
      </w:r>
    </w:p>
    <w:p w14:paraId="70396A7F" w14:textId="77777777" w:rsidR="00632C5C" w:rsidRPr="00F24227" w:rsidRDefault="0092399C">
      <w:pPr>
        <w:tabs>
          <w:tab w:val="center" w:pos="1946"/>
          <w:tab w:val="center" w:pos="6676"/>
        </w:tabs>
        <w:spacing w:after="3" w:line="253" w:lineRule="auto"/>
        <w:ind w:left="-15"/>
      </w:pPr>
      <w:r w:rsidRPr="008A59BF">
        <w:rPr>
          <w:rFonts w:ascii="Arial" w:eastAsia="Arial" w:hAnsi="Arial" w:cs="Arial"/>
        </w:rPr>
        <w:t xml:space="preserve">  </w:t>
      </w:r>
      <w:r w:rsidRPr="008A59BF">
        <w:rPr>
          <w:rFonts w:ascii="Arial" w:eastAsia="Arial" w:hAnsi="Arial" w:cs="Arial"/>
        </w:rPr>
        <w:tab/>
      </w:r>
      <w:r w:rsidRPr="008A59BF">
        <w:rPr>
          <w:rFonts w:ascii="Arial" w:eastAsia="Arial" w:hAnsi="Arial" w:cs="Arial"/>
          <w:i/>
          <w:color w:val="00B0F0"/>
        </w:rPr>
        <w:t>Jméno a příjmení</w:t>
      </w:r>
      <w:r w:rsidRPr="008A59BF">
        <w:rPr>
          <w:rFonts w:ascii="Arial" w:eastAsia="Arial" w:hAnsi="Arial" w:cs="Arial"/>
          <w:i/>
          <w:color w:val="FF0000"/>
        </w:rPr>
        <w:t xml:space="preserve">  </w:t>
      </w:r>
      <w:r w:rsidRPr="008A59BF">
        <w:rPr>
          <w:rFonts w:ascii="Arial" w:eastAsia="Arial" w:hAnsi="Arial" w:cs="Arial"/>
          <w:i/>
          <w:color w:val="FF0000"/>
        </w:rPr>
        <w:tab/>
      </w:r>
      <w:r w:rsidRPr="008A59BF">
        <w:rPr>
          <w:rFonts w:ascii="Arial" w:eastAsia="Arial" w:hAnsi="Arial" w:cs="Arial"/>
          <w:i/>
          <w:color w:val="00B0F0"/>
        </w:rPr>
        <w:t>Jméno a příjmení</w:t>
      </w:r>
      <w:r w:rsidRPr="008A59BF">
        <w:rPr>
          <w:rFonts w:ascii="Arial" w:eastAsia="Arial" w:hAnsi="Arial" w:cs="Arial"/>
          <w:i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65B76DCA" w14:textId="77777777" w:rsidR="00632C5C" w:rsidRPr="00F24227" w:rsidRDefault="0092399C">
      <w:pPr>
        <w:tabs>
          <w:tab w:val="center" w:pos="1945"/>
          <w:tab w:val="center" w:pos="6676"/>
        </w:tabs>
        <w:spacing w:after="4" w:line="252" w:lineRule="auto"/>
        <w:ind w:left="-1"/>
      </w:pPr>
      <w:r w:rsidRPr="008A59BF">
        <w:rPr>
          <w:rFonts w:ascii="Arial" w:eastAsia="Arial" w:hAnsi="Arial" w:cs="Arial"/>
          <w:i/>
          <w:color w:val="FF0000"/>
        </w:rPr>
        <w:t xml:space="preserve">  </w:t>
      </w:r>
      <w:r w:rsidRPr="008A59BF">
        <w:rPr>
          <w:rFonts w:ascii="Arial" w:eastAsia="Arial" w:hAnsi="Arial" w:cs="Arial"/>
          <w:i/>
          <w:color w:val="FF0000"/>
        </w:rPr>
        <w:tab/>
      </w:r>
      <w:r w:rsidRPr="008A59BF">
        <w:rPr>
          <w:rFonts w:ascii="Arial" w:eastAsia="Arial" w:hAnsi="Arial" w:cs="Arial"/>
          <w:i/>
          <w:color w:val="00B0F0"/>
        </w:rPr>
        <w:t>funkce</w:t>
      </w:r>
      <w:r w:rsidRPr="008A59BF">
        <w:rPr>
          <w:rFonts w:ascii="Arial" w:eastAsia="Arial" w:hAnsi="Arial" w:cs="Arial"/>
          <w:i/>
          <w:color w:val="FF0000"/>
        </w:rPr>
        <w:t xml:space="preserve">  </w:t>
      </w:r>
      <w:r w:rsidRPr="008A59BF">
        <w:rPr>
          <w:rFonts w:ascii="Arial" w:eastAsia="Arial" w:hAnsi="Arial" w:cs="Arial"/>
          <w:i/>
          <w:color w:val="FF0000"/>
        </w:rPr>
        <w:tab/>
      </w:r>
      <w:r w:rsidRPr="008A59BF">
        <w:rPr>
          <w:rFonts w:ascii="Arial" w:eastAsia="Arial" w:hAnsi="Arial" w:cs="Arial"/>
        </w:rPr>
        <w:t>náměstek hejtmana</w:t>
      </w:r>
      <w:r w:rsidRPr="008A59BF">
        <w:rPr>
          <w:rFonts w:ascii="Arial" w:eastAsia="Arial" w:hAnsi="Arial" w:cs="Arial"/>
          <w:i/>
          <w:color w:val="FF0000"/>
        </w:rPr>
        <w:t xml:space="preserve"> </w:t>
      </w:r>
      <w:r w:rsidRPr="008A59BF">
        <w:rPr>
          <w:rFonts w:ascii="Arial" w:eastAsia="Arial" w:hAnsi="Arial" w:cs="Arial"/>
        </w:rPr>
        <w:t xml:space="preserve"> </w:t>
      </w:r>
    </w:p>
    <w:p w14:paraId="48FBCEB3" w14:textId="77777777" w:rsidR="00632C5C" w:rsidRDefault="0092399C">
      <w:pPr>
        <w:spacing w:after="0"/>
        <w:ind w:left="14"/>
      </w:pPr>
      <w:r>
        <w:rPr>
          <w:rFonts w:ascii="Arial" w:eastAsia="Arial" w:hAnsi="Arial" w:cs="Arial"/>
          <w:i/>
          <w:color w:val="FF0000"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sectPr w:rsidR="00632C5C">
      <w:footerReference w:type="even" r:id="rId7"/>
      <w:footerReference w:type="default" r:id="rId8"/>
      <w:footerReference w:type="first" r:id="rId9"/>
      <w:footnotePr>
        <w:numRestart w:val="eachPage"/>
      </w:footnotePr>
      <w:pgSz w:w="11900" w:h="16840"/>
      <w:pgMar w:top="2098" w:right="1354" w:bottom="2321" w:left="1363" w:header="708" w:footer="14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013D" w14:textId="77777777" w:rsidR="000C1FF2" w:rsidRDefault="000C1FF2">
      <w:pPr>
        <w:spacing w:after="0" w:line="240" w:lineRule="auto"/>
      </w:pPr>
      <w:r>
        <w:separator/>
      </w:r>
    </w:p>
  </w:endnote>
  <w:endnote w:type="continuationSeparator" w:id="0">
    <w:p w14:paraId="05A2BA48" w14:textId="77777777" w:rsidR="000C1FF2" w:rsidRDefault="000C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E2A6C" w14:textId="77777777" w:rsidR="00632C5C" w:rsidRDefault="0092399C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14:paraId="5E1E3DBC" w14:textId="77777777" w:rsidR="00632C5C" w:rsidRDefault="0092399C">
    <w:pPr>
      <w:spacing w:after="0"/>
      <w:ind w:left="14"/>
    </w:pP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1E541" w14:textId="3BB8D728" w:rsidR="00632C5C" w:rsidRDefault="0092399C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6C66" w:rsidRPr="00DB6C66">
      <w:rPr>
        <w:rFonts w:ascii="Times New Roman" w:eastAsia="Times New Roman" w:hAnsi="Times New Roman" w:cs="Times New Roman"/>
        <w:noProof/>
        <w:sz w:val="23"/>
      </w:rPr>
      <w:t>9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14:paraId="5104C6E1" w14:textId="77777777" w:rsidR="00632C5C" w:rsidRDefault="0092399C">
    <w:pPr>
      <w:spacing w:after="0"/>
      <w:ind w:left="14"/>
    </w:pP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E440" w14:textId="77777777" w:rsidR="00632C5C" w:rsidRDefault="0092399C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14:paraId="0A39319C" w14:textId="77777777" w:rsidR="00632C5C" w:rsidRDefault="0092399C">
    <w:pPr>
      <w:spacing w:after="0"/>
      <w:ind w:left="14"/>
    </w:pP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240DA" w14:textId="77777777" w:rsidR="000C1FF2" w:rsidRDefault="000C1FF2">
      <w:pPr>
        <w:spacing w:after="0" w:line="266" w:lineRule="auto"/>
        <w:ind w:left="14"/>
        <w:jc w:val="both"/>
      </w:pPr>
      <w:r>
        <w:separator/>
      </w:r>
    </w:p>
  </w:footnote>
  <w:footnote w:type="continuationSeparator" w:id="0">
    <w:p w14:paraId="65E8F918" w14:textId="77777777" w:rsidR="000C1FF2" w:rsidRDefault="000C1FF2">
      <w:pPr>
        <w:spacing w:after="0" w:line="266" w:lineRule="auto"/>
        <w:ind w:left="14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B02"/>
    <w:multiLevelType w:val="hybridMultilevel"/>
    <w:tmpl w:val="0BEE23EE"/>
    <w:lvl w:ilvl="0" w:tplc="AAB68AB4">
      <w:start w:val="12"/>
      <w:numFmt w:val="decimal"/>
      <w:lvlText w:val="%1)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161A2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86608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622BA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14721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6A1CD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E0E42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70D89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A4393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A3735"/>
    <w:multiLevelType w:val="hybridMultilevel"/>
    <w:tmpl w:val="59F20F4C"/>
    <w:lvl w:ilvl="0" w:tplc="215895A4">
      <w:start w:val="1"/>
      <w:numFmt w:val="decimal"/>
      <w:lvlText w:val="%1)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F4B3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8EFE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06FE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5250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ACCC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7AD5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92FF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A200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91A7D3E"/>
    <w:multiLevelType w:val="hybridMultilevel"/>
    <w:tmpl w:val="2E04C594"/>
    <w:lvl w:ilvl="0" w:tplc="6186DEFE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A8C258">
      <w:start w:val="1"/>
      <w:numFmt w:val="lowerLetter"/>
      <w:lvlText w:val="%2)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CC1FB6">
      <w:start w:val="1"/>
      <w:numFmt w:val="lowerRoman"/>
      <w:lvlText w:val="%3"/>
      <w:lvlJc w:val="left"/>
      <w:pPr>
        <w:ind w:left="1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C07464">
      <w:start w:val="1"/>
      <w:numFmt w:val="decimal"/>
      <w:lvlText w:val="%4"/>
      <w:lvlJc w:val="left"/>
      <w:pPr>
        <w:ind w:left="2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B21C98">
      <w:start w:val="1"/>
      <w:numFmt w:val="lowerLetter"/>
      <w:lvlText w:val="%5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285F66">
      <w:start w:val="1"/>
      <w:numFmt w:val="lowerRoman"/>
      <w:lvlText w:val="%6"/>
      <w:lvlJc w:val="left"/>
      <w:pPr>
        <w:ind w:left="3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AE9550">
      <w:start w:val="1"/>
      <w:numFmt w:val="decimal"/>
      <w:lvlText w:val="%7"/>
      <w:lvlJc w:val="left"/>
      <w:pPr>
        <w:ind w:left="4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ACE5B0">
      <w:start w:val="1"/>
      <w:numFmt w:val="lowerLetter"/>
      <w:lvlText w:val="%8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CB1F4">
      <w:start w:val="1"/>
      <w:numFmt w:val="lowerRoman"/>
      <w:lvlText w:val="%9"/>
      <w:lvlJc w:val="left"/>
      <w:pPr>
        <w:ind w:left="5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03C59"/>
    <w:multiLevelType w:val="hybridMultilevel"/>
    <w:tmpl w:val="A96E95A4"/>
    <w:lvl w:ilvl="0" w:tplc="2F5E8E8C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4F8A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18646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B022D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2157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E6D37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8422E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29889A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80906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6449A"/>
    <w:multiLevelType w:val="hybridMultilevel"/>
    <w:tmpl w:val="03366816"/>
    <w:lvl w:ilvl="0" w:tplc="A16058C0">
      <w:start w:val="1"/>
      <w:numFmt w:val="decimal"/>
      <w:lvlText w:val="%1)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EEB2A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3EC51E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BE8A64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78CC42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E85EE4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BE7380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7C1F2E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BE6408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E02572"/>
    <w:multiLevelType w:val="hybridMultilevel"/>
    <w:tmpl w:val="79E829AE"/>
    <w:lvl w:ilvl="0" w:tplc="3F5E8D62">
      <w:start w:val="15"/>
      <w:numFmt w:val="decimal"/>
      <w:lvlText w:val="%1)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BA52CE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8E6CD0">
      <w:start w:val="5"/>
      <w:numFmt w:val="upperRoman"/>
      <w:lvlText w:val="%3"/>
      <w:lvlJc w:val="left"/>
      <w:pPr>
        <w:ind w:left="7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F49904">
      <w:start w:val="1"/>
      <w:numFmt w:val="decimal"/>
      <w:lvlText w:val="%4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3A8D9A">
      <w:start w:val="1"/>
      <w:numFmt w:val="lowerLetter"/>
      <w:lvlText w:val="%5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70553C">
      <w:start w:val="1"/>
      <w:numFmt w:val="lowerRoman"/>
      <w:lvlText w:val="%6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9C4ADC">
      <w:start w:val="1"/>
      <w:numFmt w:val="decimal"/>
      <w:lvlText w:val="%7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3AFBB6">
      <w:start w:val="1"/>
      <w:numFmt w:val="lowerLetter"/>
      <w:lvlText w:val="%8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2ADA8E">
      <w:start w:val="1"/>
      <w:numFmt w:val="lowerRoman"/>
      <w:lvlText w:val="%9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A60E0C"/>
    <w:multiLevelType w:val="hybridMultilevel"/>
    <w:tmpl w:val="2BC6A44C"/>
    <w:lvl w:ilvl="0" w:tplc="9F760AA2">
      <w:start w:val="1"/>
      <w:numFmt w:val="lowerLetter"/>
      <w:lvlText w:val="%1)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C29418">
      <w:start w:val="1"/>
      <w:numFmt w:val="bullet"/>
      <w:lvlText w:val="-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E2AC9C">
      <w:start w:val="1"/>
      <w:numFmt w:val="bullet"/>
      <w:lvlText w:val="▪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9A57B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A66CFC">
      <w:start w:val="1"/>
      <w:numFmt w:val="bullet"/>
      <w:lvlText w:val="o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2691D6">
      <w:start w:val="1"/>
      <w:numFmt w:val="bullet"/>
      <w:lvlText w:val="▪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7856E4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78429C">
      <w:start w:val="1"/>
      <w:numFmt w:val="bullet"/>
      <w:lvlText w:val="o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7013FA">
      <w:start w:val="1"/>
      <w:numFmt w:val="bullet"/>
      <w:lvlText w:val="▪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E002AC"/>
    <w:multiLevelType w:val="hybridMultilevel"/>
    <w:tmpl w:val="3B6E6168"/>
    <w:lvl w:ilvl="0" w:tplc="6D608032">
      <w:start w:val="6"/>
      <w:numFmt w:val="decimal"/>
      <w:lvlText w:val="%1)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104F70E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2C5CC4">
      <w:start w:val="1"/>
      <w:numFmt w:val="lowerLetter"/>
      <w:lvlText w:val="%3)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A2BB40">
      <w:start w:val="1"/>
      <w:numFmt w:val="decimal"/>
      <w:lvlText w:val="%4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145C94">
      <w:start w:val="1"/>
      <w:numFmt w:val="lowerLetter"/>
      <w:lvlText w:val="%5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E4BACC">
      <w:start w:val="1"/>
      <w:numFmt w:val="lowerRoman"/>
      <w:lvlText w:val="%6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7A486A">
      <w:start w:val="1"/>
      <w:numFmt w:val="decimal"/>
      <w:lvlText w:val="%7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227CB8">
      <w:start w:val="1"/>
      <w:numFmt w:val="lowerLetter"/>
      <w:lvlText w:val="%8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94640E">
      <w:start w:val="1"/>
      <w:numFmt w:val="lowerRoman"/>
      <w:lvlText w:val="%9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9A7BA6"/>
    <w:multiLevelType w:val="hybridMultilevel"/>
    <w:tmpl w:val="BABC6B96"/>
    <w:lvl w:ilvl="0" w:tplc="DEE6A3C4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122720">
      <w:start w:val="1"/>
      <w:numFmt w:val="lowerLetter"/>
      <w:lvlText w:val="%2)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E4097E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46145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54FCCC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E8BD24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4A17DC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B80FC8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465ADA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7A53C1"/>
    <w:multiLevelType w:val="hybridMultilevel"/>
    <w:tmpl w:val="D7E4E1D2"/>
    <w:lvl w:ilvl="0" w:tplc="C9A8AFF6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C04C4C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0E8E3A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E609A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1A9B90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768B10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DE847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300B3C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A4DB50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7A19FC"/>
    <w:multiLevelType w:val="hybridMultilevel"/>
    <w:tmpl w:val="1B1C4B26"/>
    <w:lvl w:ilvl="0" w:tplc="6E02AF02">
      <w:start w:val="1"/>
      <w:numFmt w:val="decimal"/>
      <w:lvlText w:val="%1)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DAB3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48A3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A464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B6D4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A8D5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E26A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A86E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123D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C462F1"/>
    <w:multiLevelType w:val="hybridMultilevel"/>
    <w:tmpl w:val="15A84914"/>
    <w:lvl w:ilvl="0" w:tplc="DDACB1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4CD8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F10E">
      <w:start w:val="1"/>
      <w:numFmt w:val="lowerLetter"/>
      <w:lvlRestart w:val="0"/>
      <w:lvlText w:val="%3)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CFC0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0B26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9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4812A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632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50BC7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7C4BD2"/>
    <w:multiLevelType w:val="hybridMultilevel"/>
    <w:tmpl w:val="E1A61708"/>
    <w:lvl w:ilvl="0" w:tplc="F7B8D906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C4710C">
      <w:start w:val="1"/>
      <w:numFmt w:val="bullet"/>
      <w:lvlText w:val="-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0620E6">
      <w:start w:val="1"/>
      <w:numFmt w:val="bullet"/>
      <w:lvlText w:val="▪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9093CC">
      <w:start w:val="1"/>
      <w:numFmt w:val="bullet"/>
      <w:lvlText w:val="•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3A867C">
      <w:start w:val="1"/>
      <w:numFmt w:val="bullet"/>
      <w:lvlText w:val="o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422A14">
      <w:start w:val="1"/>
      <w:numFmt w:val="bullet"/>
      <w:lvlText w:val="▪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A54F4">
      <w:start w:val="1"/>
      <w:numFmt w:val="bullet"/>
      <w:lvlText w:val="•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98A700">
      <w:start w:val="1"/>
      <w:numFmt w:val="bullet"/>
      <w:lvlText w:val="o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F05D80">
      <w:start w:val="1"/>
      <w:numFmt w:val="bullet"/>
      <w:lvlText w:val="▪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D1538E"/>
    <w:multiLevelType w:val="hybridMultilevel"/>
    <w:tmpl w:val="904E6B44"/>
    <w:lvl w:ilvl="0" w:tplc="86A8523C">
      <w:start w:val="1"/>
      <w:numFmt w:val="decimal"/>
      <w:lvlText w:val="%1)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A0BD3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261AD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B01C4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0A57E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0A227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7A713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70990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0A7F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830409"/>
    <w:multiLevelType w:val="hybridMultilevel"/>
    <w:tmpl w:val="E7A8A91E"/>
    <w:lvl w:ilvl="0" w:tplc="8FAA0E38">
      <w:start w:val="1"/>
      <w:numFmt w:val="bullet"/>
      <w:lvlText w:val=""/>
      <w:lvlJc w:val="left"/>
      <w:pPr>
        <w:ind w:left="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70C1D4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2A59CE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028818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CE02DE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6A300E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885B86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D886CA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E08066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3B04D7"/>
    <w:multiLevelType w:val="hybridMultilevel"/>
    <w:tmpl w:val="9E525452"/>
    <w:lvl w:ilvl="0" w:tplc="259667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809CBA">
      <w:start w:val="1"/>
      <w:numFmt w:val="lowerLetter"/>
      <w:lvlText w:val="%2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C45C86">
      <w:start w:val="1"/>
      <w:numFmt w:val="lowerRoman"/>
      <w:lvlText w:val="%3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C05370">
      <w:start w:val="1"/>
      <w:numFmt w:val="lowerLetter"/>
      <w:lvlRestart w:val="0"/>
      <w:lvlText w:val="%4)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768822">
      <w:start w:val="1"/>
      <w:numFmt w:val="lowerLetter"/>
      <w:lvlText w:val="%5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C48A6E">
      <w:start w:val="1"/>
      <w:numFmt w:val="lowerRoman"/>
      <w:lvlText w:val="%6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DC5AA8">
      <w:start w:val="1"/>
      <w:numFmt w:val="decimal"/>
      <w:lvlText w:val="%7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ECB644">
      <w:start w:val="1"/>
      <w:numFmt w:val="lowerLetter"/>
      <w:lvlText w:val="%8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E47BEC">
      <w:start w:val="1"/>
      <w:numFmt w:val="lowerRoman"/>
      <w:lvlText w:val="%9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5D2EEB"/>
    <w:multiLevelType w:val="hybridMultilevel"/>
    <w:tmpl w:val="40AEC090"/>
    <w:lvl w:ilvl="0" w:tplc="F2044CB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42CC0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EBE38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4723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4E990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EE6E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C9C4A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05A46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F43436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D17098"/>
    <w:multiLevelType w:val="hybridMultilevel"/>
    <w:tmpl w:val="816EE912"/>
    <w:lvl w:ilvl="0" w:tplc="0106923A">
      <w:start w:val="1"/>
      <w:numFmt w:val="decimal"/>
      <w:lvlText w:val="%1)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3C8858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3E1252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404926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B82D16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C659A6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86BFC2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DABC38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38EA5A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6"/>
  </w:num>
  <w:num w:numId="9">
    <w:abstractNumId w:val="18"/>
  </w:num>
  <w:num w:numId="10">
    <w:abstractNumId w:val="1"/>
  </w:num>
  <w:num w:numId="11">
    <w:abstractNumId w:val="3"/>
  </w:num>
  <w:num w:numId="12">
    <w:abstractNumId w:val="9"/>
  </w:num>
  <w:num w:numId="13">
    <w:abstractNumId w:val="12"/>
  </w:num>
  <w:num w:numId="14">
    <w:abstractNumId w:val="7"/>
  </w:num>
  <w:num w:numId="15">
    <w:abstractNumId w:val="11"/>
  </w:num>
  <w:num w:numId="16">
    <w:abstractNumId w:val="13"/>
  </w:num>
  <w:num w:numId="17">
    <w:abstractNumId w:val="4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5C"/>
    <w:rsid w:val="00055299"/>
    <w:rsid w:val="00070833"/>
    <w:rsid w:val="00094903"/>
    <w:rsid w:val="000A1A09"/>
    <w:rsid w:val="000C1FF2"/>
    <w:rsid w:val="00102CBA"/>
    <w:rsid w:val="001204A1"/>
    <w:rsid w:val="001F450D"/>
    <w:rsid w:val="00217508"/>
    <w:rsid w:val="00236F1A"/>
    <w:rsid w:val="00296128"/>
    <w:rsid w:val="003168B3"/>
    <w:rsid w:val="00350722"/>
    <w:rsid w:val="0039231D"/>
    <w:rsid w:val="00467BEA"/>
    <w:rsid w:val="00511BD3"/>
    <w:rsid w:val="005F2BEA"/>
    <w:rsid w:val="00624DE9"/>
    <w:rsid w:val="00632C5C"/>
    <w:rsid w:val="0070605A"/>
    <w:rsid w:val="00727930"/>
    <w:rsid w:val="00790544"/>
    <w:rsid w:val="00820919"/>
    <w:rsid w:val="008A59BF"/>
    <w:rsid w:val="008B6083"/>
    <w:rsid w:val="0092399C"/>
    <w:rsid w:val="009D3C3B"/>
    <w:rsid w:val="00A01BE7"/>
    <w:rsid w:val="00C52289"/>
    <w:rsid w:val="00C619BF"/>
    <w:rsid w:val="00C81DAF"/>
    <w:rsid w:val="00C84E72"/>
    <w:rsid w:val="00D57328"/>
    <w:rsid w:val="00D66BE4"/>
    <w:rsid w:val="00DB6C66"/>
    <w:rsid w:val="00E602EA"/>
    <w:rsid w:val="00F24227"/>
    <w:rsid w:val="00F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B386"/>
  <w15:docId w15:val="{B528D04F-83AF-44D7-84D9-BC412EC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1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1" w:lineRule="auto"/>
      <w:ind w:left="14" w:right="2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508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F2B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0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083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08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nhideWhenUsed/>
    <w:rsid w:val="000A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A1A0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2603</Words>
  <Characters>15360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Lenka Mgr.</dc:creator>
  <cp:keywords/>
  <cp:lastModifiedBy>Talpa David Bc.</cp:lastModifiedBy>
  <cp:revision>2</cp:revision>
  <cp:lastPrinted>2022-01-26T11:00:00Z</cp:lastPrinted>
  <dcterms:created xsi:type="dcterms:W3CDTF">2022-02-09T11:32:00Z</dcterms:created>
  <dcterms:modified xsi:type="dcterms:W3CDTF">2022-02-09T11:32:00Z</dcterms:modified>
</cp:coreProperties>
</file>